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300"/>
        <w:jc w:val="center"/>
        <w:rPr>
          <w:rFonts w:ascii="Calibri" w:hAnsi="Calibri" w:eastAsia="Arial" w:cs="Arial"/>
          <w:b/>
          <w:bCs/>
          <w:sz w:val="42"/>
          <w:szCs w:val="42"/>
        </w:rPr>
      </w:pPr>
      <w:r>
        <w:rPr>
          <w:rFonts w:eastAsia="Arial" w:cs="Arial" w:ascii="Calibri" w:hAnsi="Calibri"/>
          <w:b/>
          <w:bCs/>
          <w:sz w:val="42"/>
          <w:szCs w:val="42"/>
        </w:rPr>
      </w:r>
    </w:p>
    <w:p>
      <w:pPr>
        <w:pStyle w:val="Normal"/>
        <w:spacing w:lineRule="auto" w:line="240" w:before="0" w:after="300"/>
        <w:jc w:val="center"/>
        <w:rPr>
          <w:rFonts w:ascii="Arial Black" w:hAnsi="Arial Black" w:eastAsia="Arial" w:cs="Arial"/>
          <w:b/>
          <w:bCs/>
          <w:sz w:val="42"/>
          <w:szCs w:val="42"/>
        </w:rPr>
      </w:pPr>
      <w:r>
        <w:rPr>
          <w:rFonts w:eastAsia="Arial" w:cs="Arial" w:ascii="Arial Black" w:hAnsi="Arial Black"/>
          <w:b/>
          <w:bCs/>
          <w:sz w:val="42"/>
          <w:szCs w:val="42"/>
        </w:rPr>
        <w:t>VERSÃO 2 (MAIS SUCINTA)</w:t>
      </w:r>
    </w:p>
    <w:p>
      <w:pPr>
        <w:pStyle w:val="Normal"/>
        <w:spacing w:lineRule="auto" w:line="240" w:before="0" w:after="300"/>
        <w:jc w:val="center"/>
        <w:rPr>
          <w:rFonts w:ascii="Arial" w:hAnsi="Arial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  <w:t>NOTA PÚBLICA - PREÇO DOS COMBUSTÍVEIS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O Procon-MPMG esclarece que a liberdade econômica e a ausência de tabelamento de preços dos combustíveis não significam autorização para aumentos arbitrários ou injustificados.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O fornecedor não pode se valer de momentos de instabilidade ou anormalidade do mercado, seja nacional ou internacional, para elevar preços sem base concreta e idônea. A legislação brasileira protege a livre iniciativa, mas também protege o consumidor contra práticas abusivas.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Em Minas Gerais, o Procon-MPMG e os Procons municipais podem apurar aumentos de preços no mercado de combustíveis sempre que houver indícios de elevação sem justa causa. Nessas hipóteses, a investigação deverá considerar as particularidades de cada caso, inclusive preços anteriormente praticados, notas fiscais de compra, custo de reposição, estoques, despesas operacionais e circunstâncias locais.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Não se afirma, de forma automática, que todo aumento de preço é irregular. A análise deve ser técnica e individualizada. No entanto, aumentos incompatíveis com os custos reais do estabelecimento, aumentos irreais ou aumentos decorrentes do aproveitamento indevido de situações excepcionais poderão ensejar apuração e sanção, na forma da lei.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Aos responsáveis pelos postos de combustíveis, o Procon-MPMG faz um alerta: a liberdade de preços encontra limite na legislação de defesa do consumidor. Sempre que necessário, o fornecedor deverá estar apto a demonstrar, documentalmente, a razão do reajuste praticado.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O Procon-MPMG segue em alinhamento com a Secretaria Nacional do Consumidor, do Ministério da Justiça, para o desenvolvimento de metodologia de fiscalização adequada, técnica e efetiva, voltada à correta apuração de eventuais abusos.</w:t>
      </w:r>
    </w:p>
    <w:p>
      <w:pPr>
        <w:pStyle w:val="Normal"/>
        <w:spacing w:lineRule="auto" w:line="240" w:before="0" w:after="200"/>
        <w:ind w:firstLine="720"/>
        <w:jc w:val="both"/>
        <w:rPr>
          <w:rFonts w:ascii="Calibri" w:hAnsi="Calibri"/>
          <w:shd w:fill="auto" w:val="clear"/>
        </w:rPr>
      </w:pPr>
      <w:r>
        <w:rPr>
          <w:rFonts w:ascii="Calibri" w:hAnsi="Calibri"/>
          <w:shd w:fill="auto" w:val="clear"/>
        </w:rPr>
        <w:t>Aos consumidores, reforça-se a orientação para que permaneçam atentos aos preços e formalizem denúncia sempre que houver suspeita de irregularidade. A denúncia é fundamental para que os órgãos competentes possam verificar se houve oscilação legítima de mercado ou eventual prática abusiva.</w:t>
      </w:r>
    </w:p>
    <w:p>
      <w:pPr>
        <w:pStyle w:val="Normal"/>
        <w:spacing w:lineRule="auto" w:line="240" w:before="0" w:after="200"/>
        <w:ind w:firstLine="720"/>
        <w:jc w:val="both"/>
        <w:rPr/>
      </w:pPr>
      <w:r>
        <w:rPr>
          <w:rFonts w:ascii="Calibri" w:hAnsi="Calibri"/>
          <w:shd w:fill="auto" w:val="clear"/>
        </w:rPr>
        <w:t>As manifestações podem ser registradas junto aos órgãos locais de defesa do consumidor ou, diretamente, na Ouvidoria do Procon-MPMG:</w:t>
        <w:br/>
      </w:r>
      <w:hyperlink r:id="rId2" w:tgtFrame="_new">
        <w:r>
          <w:rPr>
            <w:rStyle w:val="Hyperlink"/>
            <w:rFonts w:ascii="Calibri" w:hAnsi="Calibri"/>
            <w:shd w:fill="auto" w:val="clear"/>
          </w:rPr>
          <w:t>https://aplicacao.mpmg.mp.br/ouvidoria/service/procon</w:t>
        </w:r>
      </w:hyperlink>
    </w:p>
    <w:p>
      <w:pPr>
        <w:pStyle w:val="Normal"/>
        <w:spacing w:lineRule="auto" w:line="240" w:before="0" w:after="200"/>
        <w:ind w:firstLine="720"/>
        <w:jc w:val="both"/>
        <w:rPr>
          <w:rFonts w:ascii="Arial" w:hAnsi="Arial"/>
          <w:b w:val="false"/>
          <w:bCs w:val="false"/>
          <w:sz w:val="36"/>
          <w:szCs w:val="36"/>
        </w:rPr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1134" w:gutter="0" w:header="708" w:top="1701" w:footer="708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swiss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Black">
    <w:charset w:val="01"/>
    <w:family w:val="swiss"/>
    <w:pitch w:val="default"/>
    <w:embedRegular r:id="rId18" w:fontKey="{12014A78-CABC-4EF0-12AC-5CD89AEFDE12}"/>
  </w:font>
  <w:font w:name="Calibri">
    <w:charset w:val="01"/>
    <w:family w:val="swiss"/>
    <w:pitch w:val="default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OpenSymbol">
    <w:altName w:val="Arial Unicode MS"/>
    <w:charset w:val="01"/>
    <w:family w:val="swiss"/>
    <w:pitch w:val="default"/>
    <w:embedRegular r:id="rId23" w:fontKey="{17014A78-CABC-4EF0-12AC-5CD89AEFDE17}"/>
  </w:font>
  <w:font w:name="Calibri Light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top w:val="single" w:sz="4" w:space="4" w:color="CCCCCC"/>
      </w:pBdr>
      <w:spacing w:before="100" w:after="0"/>
      <w:jc w:val="center"/>
      <w:rPr>
        <w:rFonts w:ascii="Arial" w:hAnsi="Arial" w:eastAsia="Arial" w:cs="Arial"/>
        <w:i/>
        <w:iCs/>
        <w:sz w:val="20"/>
        <w:szCs w:val="20"/>
      </w:rPr>
    </w:pPr>
    <w:r>
      <w:rPr>
        <w:rFonts w:eastAsia="Arial" w:cs="Arial"/>
        <w:i/>
        <w:iCs/>
        <w:sz w:val="20"/>
        <w:szCs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top w:val="single" w:sz="4" w:space="4" w:color="CCCCCC"/>
      </w:pBdr>
      <w:spacing w:before="100" w:after="0"/>
      <w:jc w:val="center"/>
      <w:rPr>
        <w:rFonts w:ascii="Arial" w:hAnsi="Arial" w:eastAsia="Arial" w:cs="Arial"/>
        <w:i/>
        <w:iCs/>
        <w:sz w:val="20"/>
        <w:szCs w:val="20"/>
      </w:rPr>
    </w:pPr>
    <w:r>
      <w:rPr>
        <w:rFonts w:eastAsia="Arial" w:cs="Arial"/>
        <w:i/>
        <w:iCs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100"/>
      <w:jc w:val="center"/>
      <w:rPr>
        <w:rFonts w:ascii="Arial" w:hAnsi="Arial" w:eastAsia="Arial" w:cs="Arial"/>
        <w:b/>
        <w:bCs/>
        <w:color w:val="1F3864"/>
        <w:sz w:val="20"/>
        <w:szCs w:val="20"/>
      </w:rPr>
    </w:pPr>
    <w:r>
      <w:rPr>
        <w:rFonts w:eastAsia="Arial" w:cs="Arial"/>
        <w:b/>
        <w:bCs/>
        <w:color w:val="1F3864"/>
        <w:sz w:val="20"/>
        <w:szCs w:val="20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2157095" cy="48260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095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100"/>
      <w:jc w:val="center"/>
      <w:rPr>
        <w:rFonts w:ascii="Arial" w:hAnsi="Arial" w:eastAsia="Arial" w:cs="Arial"/>
        <w:b/>
        <w:bCs/>
        <w:color w:val="1F3864"/>
        <w:sz w:val="20"/>
        <w:szCs w:val="20"/>
      </w:rPr>
    </w:pPr>
    <w:r>
      <w:rPr>
        <w:rFonts w:eastAsia="Arial" w:cs="Arial"/>
        <w:b/>
        <w:bCs/>
        <w:color w:val="1F3864"/>
        <w:sz w:val="20"/>
        <w:szCs w:val="20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2157095" cy="48260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095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4"/>
      <w:szCs w:val="24"/>
      <w:lang w:val="pt-BR" w:eastAsia="zh-CN" w:bidi="hi-IN"/>
    </w:rPr>
  </w:style>
  <w:style w:type="paragraph" w:styleId="Heading1">
    <w:name w:val="heading 1"/>
    <w:basedOn w:val="Ttulouser"/>
    <w:qFormat/>
    <w:pPr>
      <w:spacing w:before="360" w:after="240"/>
      <w:outlineLvl w:val="0"/>
    </w:pPr>
    <w:rPr>
      <w:rFonts w:ascii="Arial" w:hAnsi="Arial" w:eastAsia="Arial" w:cs="Arial"/>
      <w:b/>
      <w:bCs/>
      <w:color w:val="1F3864"/>
      <w:sz w:val="28"/>
      <w:szCs w:val="28"/>
    </w:rPr>
  </w:style>
  <w:style w:type="paragraph" w:styleId="Heading2">
    <w:name w:val="heading 2"/>
    <w:basedOn w:val="Ttulouser"/>
    <w:qFormat/>
    <w:pPr>
      <w:spacing w:before="300" w:after="200"/>
      <w:jc w:val="both"/>
      <w:outlineLvl w:val="1"/>
    </w:pPr>
    <w:rPr>
      <w:rFonts w:ascii="Arial Black" w:hAnsi="Arial Black" w:eastAsia="Arial" w:cs="Arial"/>
      <w:b/>
      <w:bCs/>
      <w:color w:val="000000"/>
      <w:sz w:val="32"/>
      <w:szCs w:val="32"/>
    </w:rPr>
  </w:style>
  <w:style w:type="paragraph" w:styleId="Heading3">
    <w:name w:val="heading 3"/>
    <w:basedOn w:val="Ttulouser"/>
    <w:qFormat/>
    <w:pPr>
      <w:spacing w:before="240" w:after="180"/>
      <w:jc w:val="both"/>
      <w:outlineLvl w:val="2"/>
    </w:pPr>
    <w:rPr>
      <w:rFonts w:ascii="Calibri" w:hAnsi="Calibri" w:eastAsia="Arial" w:cs="Arial"/>
      <w:b/>
      <w:bCs/>
      <w:color w:val="000000"/>
      <w:sz w:val="28"/>
      <w:szCs w:val="28"/>
    </w:rPr>
  </w:style>
  <w:style w:type="paragraph" w:styleId="Heading4">
    <w:name w:val="heading 4"/>
    <w:basedOn w:val="Ttulouser"/>
    <w:qFormat/>
    <w:pPr/>
    <w:rPr>
      <w:i/>
      <w:iCs/>
      <w:color w:val="2E74B5"/>
    </w:rPr>
  </w:style>
  <w:style w:type="paragraph" w:styleId="Heading5">
    <w:name w:val="heading 5"/>
    <w:basedOn w:val="Ttulouser"/>
    <w:qFormat/>
    <w:pPr/>
    <w:rPr>
      <w:color w:val="2E74B5"/>
    </w:rPr>
  </w:style>
  <w:style w:type="paragraph" w:styleId="Heading6">
    <w:name w:val="heading 6"/>
    <w:basedOn w:val="Ttulouser"/>
    <w:qFormat/>
    <w:pPr/>
    <w:rPr>
      <w:color w:val="1F4D78"/>
    </w:rPr>
  </w:style>
  <w:style w:type="character" w:styleId="Hyperlink">
    <w:name w:val="Hyperlink"/>
    <w:uiPriority w:val="99"/>
    <w:unhideWhenUsed/>
    <w:qFormat/>
    <w:rPr>
      <w:color w:val="0563C1"/>
      <w:u w:val="single"/>
    </w:rPr>
  </w:style>
  <w:style w:type="character" w:styleId="Caracteresdenotaderodapuser">
    <w:name w:val="Caracteres de nota de rodapé (user)"/>
    <w:uiPriority w:val="99"/>
    <w:semiHidden/>
    <w:unhideWhenUsed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character" w:styleId="Caracteresdenotadefimuser">
    <w:name w:val="Caracteres de nota de fim (user)"/>
    <w:uiPriority w:val="99"/>
    <w:semiHidden/>
    <w:unhideWhenUsed/>
    <w:qFormat/>
    <w:rPr>
      <w:vertAlign w:val="superscript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EndnoteTextChar">
    <w:name w:val="Endnote Text Char"/>
    <w:uiPriority w:val="99"/>
    <w:semiHidden/>
    <w:unhideWhenUsed/>
    <w:qFormat/>
    <w:rPr>
      <w:sz w:val="20"/>
      <w:szCs w:val="20"/>
    </w:rPr>
  </w:style>
  <w:style w:type="character" w:styleId="Smbolosdenumeraouser">
    <w:name w:val="Símbolos de numeração (user)"/>
    <w:qFormat/>
    <w:rPr/>
  </w:style>
  <w:style w:type="character" w:styleId="Marcadoresuser">
    <w:name w:val="Marcadores (user)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Calibri" w:hAnsi="Calibri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Calibri Light" w:hAnsi="Calibri Light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 Light" w:hAnsi="Calibri Light"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Calibri Light" w:hAnsi="Calibri Light"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Calibri" w:hAnsi="Calibri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ascii="Calibri Light" w:hAnsi="Calibri Light" w:cs="Arial"/>
    </w:rPr>
  </w:style>
  <w:style w:type="paragraph" w:styleId="Title">
    <w:name w:val="Title"/>
    <w:basedOn w:val="Ttulouser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b/>
      <w:bCs/>
      <w:color w:val="auto"/>
      <w:kern w:val="0"/>
      <w:sz w:val="24"/>
      <w:szCs w:val="24"/>
      <w:lang w:val="pt-BR" w:eastAsia="zh-CN" w:bidi="hi-IN"/>
    </w:rPr>
  </w:style>
  <w:style w:type="paragraph" w:styleId="ListParagraph">
    <w:name w:val="List Paragraph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4"/>
      <w:szCs w:val="24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paragraph" w:styleId="Anotaouser">
    <w:name w:val="Anotação (user)"/>
    <w:basedOn w:val="Normal"/>
    <w:qFormat/>
    <w:pPr>
      <w:spacing w:lineRule="auto" w:line="240" w:before="56" w:after="0"/>
      <w:ind w:hanging="0" w:start="57" w:end="57"/>
    </w:pPr>
    <w:rPr>
      <w:color w:val="aut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licacao.mpmg.mp.br/ouvidoria/service/procon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102</TotalTime>
  <Application>LibreOffice/25.8.5.2$Windows_X86_64 LibreOffice_project/9c8b85f387cc00a89945a79c9e6239f32e450ac2</Application>
  <AppVersion>15.0000</AppVersion>
  <Pages>1</Pages>
  <Words>313</Words>
  <Characters>1924</Characters>
  <CharactersWithSpaces>2227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2026-03-16T11:38:40Z</dcterms:created>
  <dc:creator>Ricardo Amorim</dc:creator>
  <dc:description/>
  <dc:language>pt-BR</dc:language>
  <cp:lastModifiedBy>Ricardo Amorim</cp:lastModifiedBy>
  <dcterms:modified xsi:type="dcterms:W3CDTF">2026-03-19T09:59:02Z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