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8"/>
        <w:ind w:left="2098" w:right="2551" w:hanging="0"/>
        <w:jc w:val="center"/>
        <w:rPr>
          <w:b/>
          <w:b/>
          <w:bCs/>
        </w:rPr>
      </w:pPr>
      <w:r>
        <w:rPr>
          <w:b/>
          <w:bCs/>
          <w:sz w:val="20"/>
        </w:rPr>
        <w:t>RELATÓRIO</w:t>
      </w:r>
      <w:r>
        <w:rPr>
          <w:b/>
          <w:bCs/>
          <w:spacing w:val="-4"/>
          <w:sz w:val="20"/>
        </w:rPr>
        <w:t xml:space="preserve"> </w:t>
      </w:r>
      <w:r>
        <w:rPr>
          <w:b/>
          <w:bCs/>
          <w:sz w:val="20"/>
        </w:rPr>
        <w:t>SEMESTRAL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DE</w:t>
      </w:r>
      <w:r>
        <w:rPr>
          <w:b/>
          <w:bCs/>
          <w:spacing w:val="-4"/>
          <w:sz w:val="20"/>
        </w:rPr>
        <w:t xml:space="preserve"> </w:t>
      </w:r>
      <w:r>
        <w:rPr>
          <w:b/>
          <w:bCs/>
          <w:sz w:val="20"/>
        </w:rPr>
        <w:t xml:space="preserve">ATUAÇÃO </w:t>
      </w:r>
    </w:p>
    <w:p>
      <w:pPr>
        <w:pStyle w:val="Normal"/>
        <w:spacing w:before="0" w:after="8"/>
        <w:ind w:left="2492" w:right="3073" w:hanging="0"/>
        <w:jc w:val="center"/>
        <w:rPr>
          <w:sz w:val="20"/>
        </w:rPr>
      </w:pPr>
      <w:r>
        <w:rPr>
          <w:sz w:val="20"/>
        </w:rPr>
      </w:r>
    </w:p>
    <w:tbl>
      <w:tblPr>
        <w:tblW w:w="9075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47"/>
        <w:gridCol w:w="5427"/>
      </w:tblGrid>
      <w:tr>
        <w:trPr>
          <w:trHeight w:val="458" w:hRule="atLeas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4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ÓRGÃO: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PROCON-MG</w:t>
            </w:r>
          </w:p>
        </w:tc>
      </w:tr>
      <w:tr>
        <w:trPr>
          <w:trHeight w:val="460" w:hRule="atLeas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5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1º</w:t>
            </w:r>
          </w:p>
        </w:tc>
      </w:tr>
      <w:tr>
        <w:trPr>
          <w:trHeight w:val="460" w:hRule="atLeas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2023</w:t>
            </w:r>
          </w:p>
        </w:tc>
      </w:tr>
    </w:tbl>
    <w:p>
      <w:pPr>
        <w:pStyle w:val="Corpodotexto"/>
        <w:spacing w:before="1" w:after="0"/>
        <w:rPr/>
      </w:pPr>
      <w:r>
        <w:rPr/>
      </w:r>
    </w:p>
    <w:p>
      <w:pPr>
        <w:sectPr>
          <w:type w:val="nextPage"/>
          <w:pgSz w:w="11906" w:h="16838"/>
          <w:pgMar w:left="1600" w:right="1020" w:header="0" w:top="1320" w:footer="0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040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44"/>
        <w:gridCol w:w="2397"/>
        <w:gridCol w:w="2999"/>
      </w:tblGrid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3" w:right="140" w:hanging="0"/>
              <w:rPr/>
            </w:pPr>
            <w:r>
              <w:rPr>
                <w:sz w:val="20"/>
              </w:rPr>
              <w:t>Reuniões presenciais com outros</w:t>
            </w:r>
          </w:p>
          <w:p>
            <w:pPr>
              <w:pStyle w:val="TableParagraph"/>
              <w:ind w:left="143" w:right="140" w:hanging="0"/>
              <w:rPr/>
            </w:pPr>
            <w:r>
              <w:rPr>
                <w:sz w:val="20"/>
              </w:rPr>
              <w:t>setores da PGJ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/>
            </w:pPr>
            <w:r>
              <w:rPr/>
              <w:t>Reuniões virtuais com outros</w:t>
            </w:r>
          </w:p>
          <w:p>
            <w:pPr>
              <w:pStyle w:val="TableParagraph"/>
              <w:ind w:left="144" w:right="140" w:hanging="0"/>
              <w:rPr/>
            </w:pPr>
            <w:r>
              <w:rPr/>
              <w:t>setores da PGJ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/>
            </w:pPr>
            <w:r>
              <w:rPr/>
              <w:t>Reuniões presenciais externas</w:t>
            </w:r>
          </w:p>
        </w:tc>
        <w:tc>
          <w:tcPr>
            <w:tcW w:w="5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/>
            </w:pPr>
            <w:r>
              <w:rPr>
                <w:sz w:val="20"/>
              </w:rPr>
              <w:t>Reuniões</w:t>
            </w:r>
            <w:r>
              <w:rPr>
                <w:spacing w:val="-3"/>
                <w:sz w:val="20"/>
              </w:rPr>
              <w:t xml:space="preserve">   virtuais externas</w:t>
            </w:r>
          </w:p>
        </w:tc>
        <w:tc>
          <w:tcPr>
            <w:tcW w:w="5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Atendimentos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1172</w:t>
            </w:r>
          </w:p>
        </w:tc>
      </w:tr>
      <w:tr>
        <w:trPr>
          <w:trHeight w:val="457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35" w:hanging="0"/>
              <w:rPr>
                <w:sz w:val="20"/>
              </w:rPr>
            </w:pPr>
            <w:r>
              <w:rPr>
                <w:sz w:val="20"/>
              </w:rPr>
              <w:t>Participação 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operações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audiências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2" w:right="140" w:hanging="0"/>
              <w:rPr>
                <w:sz w:val="20"/>
              </w:rPr>
            </w:pPr>
            <w:r>
              <w:rPr>
                <w:sz w:val="20"/>
              </w:rPr>
              <w:t>Participação 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audiências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judiciais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7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lineRule="exact" w:line="215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222" w:right="2215" w:hang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5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conselhos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SNDC (Sistema Nacional de Defesa do Consumidor), SEDC (Sistema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Estadual de Defesa do Consumidor), MPCon (Associação Nacional do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Ministério Público do Consumidor), Brasilcon (Instituto Brasileiro de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Política e Direito do Consumidor, Proconsbrasil, FPM (Fórum dos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Procons Mineiros)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solenidades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técnico-jurídicas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90 manifestações jurídicas</w:t>
            </w:r>
          </w:p>
        </w:tc>
      </w:tr>
      <w:tr>
        <w:trPr>
          <w:trHeight w:val="461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4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Respostas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13 pareceres  jurídicos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Avisos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3" w:right="140" w:hanging="0"/>
              <w:rPr>
                <w:sz w:val="20"/>
              </w:rPr>
            </w:pPr>
            <w:r>
              <w:rPr>
                <w:sz w:val="20"/>
              </w:rPr>
              <w:t>Boletins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Informativos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Notícias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Fato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Instauradas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Não há dados (instauração feita pela 14ª PJ)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13" w:hanging="0"/>
              <w:jc w:val="right"/>
              <w:rPr/>
            </w:pPr>
            <w:r>
              <w:rPr>
                <w:sz w:val="20"/>
              </w:rPr>
              <w:t>Arquivadas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Não há dados  (encerramento feito pela 14ª PJ)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Procedimentos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Apoio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Fim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Instauradas</w:t>
            </w:r>
          </w:p>
          <w:p>
            <w:pPr>
              <w:pStyle w:val="TableParagraph"/>
              <w:ind w:left="724" w:right="714" w:hanging="0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13" w:hanging="0"/>
              <w:jc w:val="right"/>
              <w:rPr/>
            </w:pPr>
            <w:r>
              <w:rPr>
                <w:sz w:val="20"/>
              </w:rPr>
              <w:t>Arquivados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Procedimentos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Instaurados</w:t>
            </w:r>
          </w:p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(acompanhamento de Políticas Públicas)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Arquivados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9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(acompanhamento de PolíticasPúblicas)</w:t>
            </w:r>
          </w:p>
        </w:tc>
      </w:tr>
    </w:tbl>
    <w:p>
      <w:pPr>
        <w:sectPr>
          <w:type w:val="continuous"/>
          <w:pgSz w:w="11906" w:h="16838"/>
          <w:pgMar w:left="1600" w:right="1020" w:header="0" w:top="1320" w:footer="0" w:bottom="1417" w:gutter="0"/>
          <w:formProt w:val="false"/>
          <w:textDirection w:val="lrTb"/>
          <w:docGrid w:type="default" w:linePitch="600" w:charSpace="36864"/>
        </w:sectPr>
      </w:pPr>
    </w:p>
    <w:tbl>
      <w:tblPr>
        <w:tblW w:w="9040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44"/>
        <w:gridCol w:w="2397"/>
        <w:gridCol w:w="2999"/>
      </w:tblGrid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3" w:right="140" w:hanging="0"/>
              <w:rPr/>
            </w:pPr>
            <w:r>
              <w:rPr>
                <w:sz w:val="20"/>
              </w:rPr>
              <w:t>Correspondências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113" w:right="0" w:hanging="0"/>
              <w:jc w:val="center"/>
              <w:rPr/>
            </w:pPr>
            <w:r>
              <w:rPr>
                <w:sz w:val="20"/>
              </w:rPr>
              <w:t>Emitidas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459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7" w:right="1047" w:hanging="0"/>
              <w:rPr/>
            </w:pPr>
            <w:r>
              <w:rPr>
                <w:sz w:val="20"/>
              </w:rPr>
              <w:t>Recebidas</w:t>
            </w:r>
          </w:p>
          <w:p>
            <w:pPr>
              <w:pStyle w:val="TableParagraph"/>
              <w:ind w:left="1057" w:right="1047" w:hanging="0"/>
              <w:rPr/>
            </w:pPr>
            <w:r>
              <w:rPr>
                <w:sz w:val="20"/>
              </w:rPr>
              <w:t>137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atendimentos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3257  reclamações arquivadas no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Atendimento da Ouvidoria do Procon-MG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Minutas/Modelos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Peças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produzidas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38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Pareceres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19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2" w:right="140" w:hanging="0"/>
              <w:rPr>
                <w:sz w:val="20"/>
              </w:rPr>
            </w:pPr>
            <w:r>
              <w:rPr>
                <w:sz w:val="20"/>
              </w:rPr>
              <w:t>Peças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113 (111 decisões administrativas, 1 TAC e 1 TAA)</w:t>
            </w:r>
          </w:p>
        </w:tc>
      </w:tr>
      <w:tr>
        <w:trPr>
          <w:trHeight w:val="458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3" w:right="140" w:hanging="0"/>
              <w:rPr>
                <w:sz w:val="20"/>
              </w:rPr>
            </w:pPr>
            <w:r>
              <w:rPr>
                <w:sz w:val="20"/>
              </w:rPr>
              <w:t>Entrevistas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concedidas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7</w:t>
            </w:r>
          </w:p>
        </w:tc>
      </w:tr>
      <w:tr>
        <w:trPr>
          <w:trHeight w:val="889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produções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 xml:space="preserve">102 </w:t>
            </w:r>
            <w:bookmarkStart w:id="0" w:name="__DdeLink__346_636555285"/>
            <w:r>
              <w:rPr>
                <w:b w:val="false"/>
                <w:bCs w:val="false"/>
                <w:sz w:val="18"/>
                <w:szCs w:val="18"/>
              </w:rPr>
              <w:t>Processos recebidos para inscrição em Dívida Ativa (AGE):</w:t>
            </w:r>
            <w:bookmarkEnd w:id="0"/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10766 Reclamações geridas no portal Consumidor.gov.br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Publicações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bookmarkStart w:id="1" w:name="__DdeLink__744_2194996828"/>
            <w:bookmarkStart w:id="2" w:name="__DdeLink__744_2194996828"/>
            <w:bookmarkEnd w:id="2"/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Manual de atuação do agente fiscal: Encaminhado ato para publicação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/>
            </w:r>
          </w:p>
        </w:tc>
      </w:tr>
    </w:tbl>
    <w:tbl>
      <w:tblPr>
        <w:tblW w:w="9067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52"/>
        <w:gridCol w:w="5414"/>
      </w:tblGrid>
      <w:tr>
        <w:trPr>
          <w:trHeight w:val="1379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/>
              <w:ind w:left="1302" w:right="488" w:hanging="800"/>
              <w:jc w:val="left"/>
              <w:rPr/>
            </w:pPr>
            <w:r>
              <w:rPr>
                <w:sz w:val="20"/>
              </w:rPr>
              <w:t>Atuações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julgadas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Ações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Oficinas sobre Educação Financeira no PAS – Programa de Atendimento ao Superendividado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28 </w:t>
            </w:r>
            <w:r>
              <w:rPr>
                <w:sz w:val="18"/>
                <w:szCs w:val="18"/>
              </w:rPr>
              <w:t>Ações educacionais que contaram com cerca de 1618 participantes (MPMG, Procons, SEDC, fornecedores e sociedade), sendo 19 presenciais e 9 virtuais (ao vivo).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432 </w:t>
            </w:r>
            <w:r>
              <w:rPr>
                <w:sz w:val="18"/>
                <w:szCs w:val="18"/>
              </w:rPr>
              <w:t>de fiscalizações realizadas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237 </w:t>
            </w:r>
            <w:r>
              <w:rPr>
                <w:sz w:val="18"/>
                <w:szCs w:val="18"/>
              </w:rPr>
              <w:t xml:space="preserve">estabelecimentos autuados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55 % do total)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 xml:space="preserve"> apreensões (10 % do total)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 xml:space="preserve">estabelecimentos interditados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3,5 % do total)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>comarcas atendidas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Treinamentos realizados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highlight w:val="red"/>
              </w:rPr>
            </w:pPr>
            <w:r>
              <w:rPr>
                <w:b/>
                <w:bCs/>
                <w:sz w:val="22"/>
                <w:szCs w:val="22"/>
              </w:rPr>
              <w:t>Solenidades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0" w:after="0"/>
              <w:ind w:left="397" w:right="227" w:hanging="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 xml:space="preserve">Participação no 2º Encontro Intermunicipal de </w:t>
            </w:r>
            <w:r>
              <w:rPr>
                <w:b w:val="false"/>
                <w:bCs w:val="false"/>
                <w:sz w:val="18"/>
                <w:szCs w:val="18"/>
              </w:rPr>
              <w:t>S</w:t>
            </w:r>
            <w:r>
              <w:rPr>
                <w:b w:val="false"/>
                <w:bCs w:val="false"/>
                <w:sz w:val="18"/>
                <w:szCs w:val="18"/>
              </w:rPr>
              <w:t xml:space="preserve">ustentatbilidade, </w:t>
            </w:r>
            <w:r>
              <w:rPr>
                <w:b w:val="false"/>
                <w:bCs w:val="false"/>
                <w:sz w:val="18"/>
                <w:szCs w:val="18"/>
              </w:rPr>
              <w:t>S</w:t>
            </w:r>
            <w:r>
              <w:rPr>
                <w:b w:val="false"/>
                <w:bCs w:val="false"/>
                <w:sz w:val="18"/>
                <w:szCs w:val="18"/>
              </w:rPr>
              <w:t xml:space="preserve">egurança </w:t>
            </w:r>
            <w:r>
              <w:rPr>
                <w:b w:val="false"/>
                <w:bCs w:val="false"/>
                <w:sz w:val="18"/>
                <w:szCs w:val="18"/>
              </w:rPr>
              <w:t>A</w:t>
            </w:r>
            <w:r>
              <w:rPr>
                <w:b w:val="false"/>
                <w:bCs w:val="false"/>
                <w:sz w:val="18"/>
                <w:szCs w:val="18"/>
              </w:rPr>
              <w:t>limentar, Direito do Consumidor e Defesa Civil, promovido pelo Consórcio Cides em Cachoeira Dourada – MG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 xml:space="preserve">Participação no </w:t>
            </w:r>
            <w:r>
              <w:rPr>
                <w:b w:val="false"/>
                <w:bCs w:val="false"/>
                <w:sz w:val="18"/>
                <w:szCs w:val="18"/>
              </w:rPr>
              <w:t xml:space="preserve">Seminário Regional da Agroindústria Familiar, </w:t>
            </w:r>
            <w:r>
              <w:rPr>
                <w:b w:val="false"/>
                <w:bCs w:val="false"/>
                <w:sz w:val="18"/>
                <w:szCs w:val="18"/>
              </w:rPr>
              <w:t xml:space="preserve">em </w:t>
            </w:r>
            <w:r>
              <w:rPr>
                <w:b w:val="false"/>
                <w:bCs w:val="false"/>
                <w:sz w:val="18"/>
                <w:szCs w:val="18"/>
              </w:rPr>
              <w:t>Governador Valadares-</w:t>
            </w:r>
            <w:r>
              <w:rPr>
                <w:b w:val="false"/>
                <w:bCs w:val="false"/>
                <w:sz w:val="18"/>
                <w:szCs w:val="18"/>
              </w:rPr>
              <w:t>MG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Parcerias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TJ/PBH/Defensoria Pública/Faculdade Milton Campos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(Programa de Atendimento ao superendividado)</w:t>
              <w:br/>
              <w:t>NIACon -  Núcleo Integrado de Atendimento ao Consumidor</w:t>
              <w:br/>
              <w:t>Laboratório de Direito e Design da Faculdade de Direito da Universidade Federal de Uberlândia (UFU) – Visual Law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Adesão ao Acordo de Cooperação Técnica celebrado entre o Instituto Combustível Legal e o Conselho Nacional do Ministério Público.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highlight w:val="red"/>
              </w:rPr>
            </w:pPr>
            <w:r>
              <w:rPr>
                <w:sz w:val="18"/>
                <w:szCs w:val="18"/>
              </w:rPr>
              <w:t>Roteiros de Atuação</w:t>
              <w:br/>
              <w:t>Programa Procon Mirim</w:t>
              <w:br/>
              <w:t>Projeto Vitrine Legal</w:t>
              <w:br/>
              <w:t>Inteligência artificial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 xml:space="preserve">Adesão ao MPe 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PRO-FISC:  Finalização do processo licitatório para aquisição dos tablet´s e pacote de dados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Implantação da fiscalização eletrônica nas comarcas do interior a partir de 22/3/2023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Formulários e roteiros de fiscalização: Publicação de ato de atualização dos roteiros de fiscalização do Procon-MG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highlight w:val="red"/>
              </w:rPr>
            </w:pPr>
            <w:r>
              <w:rPr>
                <w:b/>
                <w:bCs/>
                <w:sz w:val="22"/>
                <w:szCs w:val="22"/>
              </w:rPr>
              <w:t>Ensino a Distância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 w:val="false"/>
                <w:b w:val="false"/>
                <w:bCs w:val="false"/>
                <w:sz w:val="18"/>
                <w:szCs w:val="18"/>
                <w:highlight w:val="cyan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Educação a distância: 3557 cadastros (até 5/7/2023) 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 xml:space="preserve">216 novos usuários  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Redes Sociais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Redes Sociais: 410 publicações (234 no Instagram e 176 no Facebook) 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263 interações com usuários (Instagram e Facebook) 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highlight w:val="red"/>
              </w:rPr>
            </w:pPr>
            <w:r>
              <w:rPr>
                <w:b/>
                <w:bCs/>
                <w:sz w:val="22"/>
                <w:szCs w:val="22"/>
              </w:rPr>
              <w:t xml:space="preserve">Outros números 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 xml:space="preserve">71 </w:t>
            </w:r>
            <w:r>
              <w:rPr>
                <w:sz w:val="18"/>
                <w:szCs w:val="18"/>
              </w:rPr>
              <w:t xml:space="preserve">Publicações (cálculos de multa,  Difis, SEDC, pareceres jurídicos, Cadastro de Reclamações Fundamentadas, roteiros de fiscalização, entre outros) 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Divulgações: 103 envios (comunicações do Procon-MG com o SEDC) 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227" w:hanging="0"/>
              <w:jc w:val="center"/>
              <w:rPr/>
            </w:pPr>
            <w:r>
              <w:rPr/>
            </w:r>
          </w:p>
        </w:tc>
      </w:tr>
    </w:tbl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widowControl w:val="false"/>
        <w:bidi w:val="0"/>
        <w:spacing w:lineRule="auto" w:line="240" w:before="0" w:after="0"/>
        <w:ind w:left="3402" w:right="0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112395</wp:posOffset>
                </wp:positionH>
                <wp:positionV relativeFrom="paragraph">
                  <wp:posOffset>106680</wp:posOffset>
                </wp:positionV>
                <wp:extent cx="5662930" cy="31496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440" cy="314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70640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52320" y="313560"/>
                            <a:ext cx="320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16" h="851">
                                <a:moveTo>
                                  <a:pt x="17015" y="833"/>
                                </a:moveTo>
                                <a:lnTo>
                                  <a:pt x="11288" y="833"/>
                                </a:lnTo>
                                <a:lnTo>
                                  <a:pt x="11270" y="833"/>
                                </a:lnTo>
                                <a:lnTo>
                                  <a:pt x="11270" y="850"/>
                                </a:lnTo>
                                <a:lnTo>
                                  <a:pt x="11288" y="850"/>
                                </a:lnTo>
                                <a:lnTo>
                                  <a:pt x="17015" y="850"/>
                                </a:lnTo>
                                <a:lnTo>
                                  <a:pt x="17015" y="833"/>
                                </a:lnTo>
                                <a:moveTo>
                                  <a:pt x="5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727" y="17"/>
                                </a:lnTo>
                                <a:lnTo>
                                  <a:pt x="5727" y="0"/>
                                </a:lnTo>
                                <a:moveTo>
                                  <a:pt x="15996" y="833"/>
                                </a:moveTo>
                                <a:lnTo>
                                  <a:pt x="15978" y="833"/>
                                </a:lnTo>
                                <a:lnTo>
                                  <a:pt x="5745" y="833"/>
                                </a:lnTo>
                                <a:lnTo>
                                  <a:pt x="5727" y="833"/>
                                </a:lnTo>
                                <a:lnTo>
                                  <a:pt x="5727" y="850"/>
                                </a:lnTo>
                                <a:lnTo>
                                  <a:pt x="5745" y="850"/>
                                </a:lnTo>
                                <a:lnTo>
                                  <a:pt x="15978" y="850"/>
                                </a:lnTo>
                                <a:lnTo>
                                  <a:pt x="15996" y="850"/>
                                </a:lnTo>
                                <a:lnTo>
                                  <a:pt x="15996" y="833"/>
                                </a:lnTo>
                                <a:moveTo>
                                  <a:pt x="15996" y="0"/>
                                </a:moveTo>
                                <a:lnTo>
                                  <a:pt x="15978" y="0"/>
                                </a:lnTo>
                                <a:lnTo>
                                  <a:pt x="5745" y="0"/>
                                </a:lnTo>
                                <a:lnTo>
                                  <a:pt x="5727" y="0"/>
                                </a:lnTo>
                                <a:lnTo>
                                  <a:pt x="5727" y="17"/>
                                </a:lnTo>
                                <a:lnTo>
                                  <a:pt x="5727" y="17"/>
                                </a:lnTo>
                                <a:lnTo>
                                  <a:pt x="5727" y="833"/>
                                </a:lnTo>
                                <a:lnTo>
                                  <a:pt x="5745" y="833"/>
                                </a:lnTo>
                                <a:lnTo>
                                  <a:pt x="5745" y="17"/>
                                </a:lnTo>
                                <a:lnTo>
                                  <a:pt x="15978" y="17"/>
                                </a:lnTo>
                                <a:lnTo>
                                  <a:pt x="15978" y="833"/>
                                </a:lnTo>
                                <a:lnTo>
                                  <a:pt x="15996" y="833"/>
                                </a:lnTo>
                                <a:lnTo>
                                  <a:pt x="15996" y="17"/>
                                </a:lnTo>
                                <a:lnTo>
                                  <a:pt x="15996" y="17"/>
                                </a:lnTo>
                                <a:lnTo>
                                  <a:pt x="159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0"/>
                            <a:ext cx="704880" cy="31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Coordenador responsável: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8.85pt;margin-top:8.4pt;width:445.85pt;height:24.7pt" coordorigin="177,168" coordsize="8917,494">
                <v:rect id="shape_0" fillcolor="#d9d9d9" stroked="f" style="position:absolute;left:177;top:168;width:1685;height:0">
                  <w10:wrap type="none"/>
                  <v:fill o:detectmouseclick="t" type="solid" color2="#262626"/>
                  <v:stroke color="#3465a4" joinstyle="round" endcap="flat"/>
                </v:rect>
              </v:group>
            </w:pict>
          </mc:Fallback>
        </mc:AlternateContent>
      </w:r>
      <w:r>
        <w:rPr/>
        <w:t>Glauber Sérgio Tatagiba do Carmo</w:t>
      </w:r>
    </w:p>
    <w:p>
      <w:pPr>
        <w:pStyle w:val="Corpodotexto"/>
        <w:widowControl w:val="false"/>
        <w:bidi w:val="0"/>
        <w:spacing w:lineRule="auto" w:line="240" w:before="0" w:after="0"/>
        <w:ind w:left="3402" w:right="0" w:hanging="0"/>
        <w:jc w:val="center"/>
        <w:rPr/>
      </w:pPr>
      <w:r>
        <w:rPr/>
        <w:t>Promotor de Justiça</w:t>
      </w:r>
    </w:p>
    <w:p>
      <w:pPr>
        <w:pStyle w:val="Corpodotexto"/>
        <w:widowControl w:val="false"/>
        <w:bidi w:val="0"/>
        <w:spacing w:lineRule="auto" w:line="240" w:before="0" w:after="0"/>
        <w:ind w:left="3402" w:right="0" w:hanging="0"/>
        <w:jc w:val="center"/>
        <w:rPr/>
      </w:pPr>
      <w:r>
        <w:rPr/>
        <w:t>Coordenador do Procon-MG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sectPr>
      <w:type w:val="continuous"/>
      <w:pgSz w:w="11906" w:h="16838"/>
      <w:pgMar w:left="1600" w:right="1020" w:header="0" w:top="1320" w:footer="0" w:bottom="1417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492" w:right="3073" w:hanging="0"/>
      <w:jc w:val="center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3"/>
      <w:ind w:left="0" w:right="140" w:hanging="0"/>
      <w:jc w:val="center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Application>LibreOffice/6.2.8.2$Windows_X86_64 LibreOffice_project/f82ddfca21ebc1e222a662a32b25c0c9d20169ee</Application>
  <Pages>3</Pages>
  <Words>526</Words>
  <Characters>3364</Characters>
  <CharactersWithSpaces>3797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2021-10-01T14:44:29Z</dcterms:created>
  <dc:creator/>
  <dc:description/>
  <dc:language>pt-BR</dc:language>
  <cp:lastModifiedBy/>
  <dcterms:modified xsi:type="dcterms:W3CDTF">2023-07-07T14:18:19Z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2021-10-01T00:00:00Z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