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71" w:after="0"/>
        <w:ind w:left="102" w:right="687" w:firstLine="707"/>
        <w:jc w:val="both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8"/>
        <w:ind w:left="2098" w:right="2551" w:hanging="0"/>
        <w:jc w:val="center"/>
        <w:rPr>
          <w:b/>
          <w:b/>
          <w:bCs/>
        </w:rPr>
      </w:pPr>
      <w:r>
        <w:rPr>
          <w:b/>
          <w:bCs/>
          <w:sz w:val="20"/>
        </w:rPr>
        <w:t>RELATÓRIO</w:t>
      </w:r>
      <w:r>
        <w:rPr>
          <w:b/>
          <w:bCs/>
          <w:spacing w:val="-4"/>
          <w:sz w:val="20"/>
        </w:rPr>
        <w:t xml:space="preserve"> </w:t>
      </w:r>
      <w:r>
        <w:rPr>
          <w:b/>
          <w:bCs/>
          <w:sz w:val="20"/>
        </w:rPr>
        <w:t>SEMESTRAL</w:t>
      </w:r>
      <w:r>
        <w:rPr>
          <w:b/>
          <w:bCs/>
          <w:spacing w:val="-2"/>
          <w:sz w:val="20"/>
        </w:rPr>
        <w:t xml:space="preserve"> </w:t>
      </w:r>
      <w:r>
        <w:rPr>
          <w:b/>
          <w:bCs/>
          <w:sz w:val="20"/>
        </w:rPr>
        <w:t>DE</w:t>
      </w:r>
      <w:r>
        <w:rPr>
          <w:b/>
          <w:bCs/>
          <w:spacing w:val="-4"/>
          <w:sz w:val="20"/>
        </w:rPr>
        <w:t xml:space="preserve"> </w:t>
      </w:r>
      <w:r>
        <w:rPr>
          <w:b/>
          <w:bCs/>
          <w:sz w:val="20"/>
        </w:rPr>
        <w:t xml:space="preserve">ATUAÇÃO </w:t>
      </w:r>
    </w:p>
    <w:p>
      <w:pPr>
        <w:pStyle w:val="Normal"/>
        <w:spacing w:before="0" w:after="8"/>
        <w:ind w:left="2492" w:right="3073" w:hanging="0"/>
        <w:jc w:val="center"/>
        <w:rPr>
          <w:sz w:val="20"/>
        </w:rPr>
      </w:pPr>
      <w:r>
        <w:rPr>
          <w:sz w:val="20"/>
        </w:rPr>
      </w:r>
    </w:p>
    <w:tbl>
      <w:tblPr>
        <w:tblW w:w="9075" w:type="dxa"/>
        <w:jc w:val="left"/>
        <w:tblInd w:w="1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47"/>
        <w:gridCol w:w="5427"/>
      </w:tblGrid>
      <w:tr>
        <w:trPr>
          <w:trHeight w:val="458" w:hRule="atLeast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44" w:right="140" w:hanging="0"/>
              <w:rPr>
                <w:sz w:val="20"/>
              </w:rPr>
            </w:pPr>
            <w:r>
              <w:rPr>
                <w:sz w:val="20"/>
              </w:rPr>
              <w:t>ÓRGÃO: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PROCON-MG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5"/>
              <w:ind w:left="146" w:right="139" w:hanging="0"/>
              <w:rPr>
                <w:sz w:val="20"/>
              </w:rPr>
            </w:pPr>
            <w:r>
              <w:rPr>
                <w:sz w:val="20"/>
              </w:rPr>
              <w:t>SEMESTRE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</w:rPr>
              <w:t>1º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6" w:right="140" w:hanging="0"/>
              <w:rPr>
                <w:sz w:val="20"/>
              </w:rPr>
            </w:pPr>
            <w:r>
              <w:rPr>
                <w:sz w:val="20"/>
              </w:rPr>
              <w:t>ANO: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</w:rPr>
              <w:t>2022</w:t>
            </w:r>
          </w:p>
        </w:tc>
      </w:tr>
    </w:tbl>
    <w:p>
      <w:pPr>
        <w:pStyle w:val="Corpodotexto"/>
        <w:spacing w:before="1" w:after="0"/>
        <w:rPr/>
      </w:pPr>
      <w:r>
        <w:rPr/>
      </w:r>
    </w:p>
    <w:p>
      <w:pPr>
        <w:sectPr>
          <w:type w:val="nextPage"/>
          <w:pgSz w:w="11906" w:h="16838"/>
          <w:pgMar w:left="1600" w:right="1020" w:header="0" w:top="1320" w:footer="0" w:bottom="1417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9040" w:type="dxa"/>
        <w:jc w:val="left"/>
        <w:tblInd w:w="1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44"/>
        <w:gridCol w:w="2406"/>
        <w:gridCol w:w="2990"/>
      </w:tblGrid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3" w:right="140" w:hanging="0"/>
              <w:rPr/>
            </w:pPr>
            <w:r>
              <w:rPr>
                <w:sz w:val="20"/>
              </w:rPr>
              <w:t>Reuniões presenciais com outros</w:t>
            </w:r>
          </w:p>
          <w:p>
            <w:pPr>
              <w:pStyle w:val="TableParagraph"/>
              <w:ind w:left="143" w:right="140" w:hanging="0"/>
              <w:rPr/>
            </w:pPr>
            <w:r>
              <w:rPr>
                <w:sz w:val="20"/>
              </w:rPr>
              <w:t>setores da PGJ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</w:rPr>
              <w:t>22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4" w:right="140" w:hanging="0"/>
              <w:rPr/>
            </w:pPr>
            <w:r>
              <w:rPr/>
              <w:t>Reuniões virtuais com outros</w:t>
            </w:r>
          </w:p>
          <w:p>
            <w:pPr>
              <w:pStyle w:val="TableParagraph"/>
              <w:ind w:left="144" w:right="140" w:hanging="0"/>
              <w:rPr/>
            </w:pPr>
            <w:r>
              <w:rPr/>
              <w:t>setores da PGJ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</w:rPr>
              <w:t>25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4" w:right="140" w:hanging="0"/>
              <w:rPr/>
            </w:pPr>
            <w:r>
              <w:rPr/>
              <w:t>Reuniões presenciais externas</w:t>
            </w:r>
          </w:p>
        </w:tc>
        <w:tc>
          <w:tcPr>
            <w:tcW w:w="53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</w:rPr>
              <w:t>49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4" w:right="140" w:hanging="0"/>
              <w:rPr/>
            </w:pPr>
            <w:r>
              <w:rPr>
                <w:sz w:val="20"/>
              </w:rPr>
              <w:t>Reuniões</w:t>
            </w:r>
            <w:r>
              <w:rPr>
                <w:spacing w:val="-3"/>
                <w:sz w:val="20"/>
              </w:rPr>
              <w:t xml:space="preserve">   virtuais externas</w:t>
            </w:r>
          </w:p>
        </w:tc>
        <w:tc>
          <w:tcPr>
            <w:tcW w:w="53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</w:rPr>
              <w:t>89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6" w:right="140" w:hanging="0"/>
              <w:rPr>
                <w:sz w:val="20"/>
              </w:rPr>
            </w:pPr>
            <w:r>
              <w:rPr>
                <w:sz w:val="20"/>
              </w:rPr>
              <w:t>Atendimentos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976</w:t>
            </w:r>
          </w:p>
        </w:tc>
      </w:tr>
      <w:tr>
        <w:trPr>
          <w:trHeight w:val="457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5" w:right="140" w:hanging="0"/>
              <w:rPr>
                <w:sz w:val="20"/>
              </w:rPr>
            </w:pPr>
            <w:r>
              <w:rPr>
                <w:sz w:val="20"/>
              </w:rPr>
              <w:t>Visitas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6" w:right="135" w:hanging="0"/>
              <w:rPr>
                <w:sz w:val="20"/>
              </w:rPr>
            </w:pPr>
            <w:r>
              <w:rPr>
                <w:sz w:val="20"/>
              </w:rPr>
              <w:t>Participação 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operações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4" w:right="140" w:hanging="0"/>
              <w:rPr>
                <w:sz w:val="20"/>
              </w:rPr>
            </w:pPr>
            <w:r>
              <w:rPr>
                <w:sz w:val="20"/>
              </w:rPr>
              <w:t>Visitas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4" w:right="140" w:hanging="0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audiências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2" w:right="140" w:hanging="0"/>
              <w:rPr>
                <w:sz w:val="20"/>
              </w:rPr>
            </w:pPr>
            <w:r>
              <w:rPr>
                <w:sz w:val="20"/>
              </w:rPr>
              <w:t>Participação 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audiências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judiciais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5" w:right="140" w:hanging="0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lineRule="exact" w:line="215"/>
              <w:ind w:left="145" w:right="140" w:hanging="0"/>
              <w:rPr>
                <w:sz w:val="20"/>
              </w:rPr>
            </w:pPr>
            <w:r>
              <w:rPr>
                <w:sz w:val="20"/>
              </w:rPr>
              <w:t>área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222" w:right="2215" w:hanging="0"/>
              <w:jc w:val="center"/>
              <w:rPr/>
            </w:pPr>
            <w:r>
              <w:rPr>
                <w:sz w:val="20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5"/>
              <w:ind w:left="144" w:right="140" w:hanging="0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conselhos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SNDC (Sistema Nacional de Defesa do Consumidor), SEDC (Sistema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Estadual de Defesa do Consumidor), MPCon (Associação Nacional do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Ministério Público do Consumidor), Brasilcon (Instituto Brasileiro de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Política e Direito do Consumidor, Proconsbrasil, FPM (Fórum dos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Procons Mineiros)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5" w:right="140" w:hanging="0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solenidades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4" w:right="140" w:hanging="0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técnico-jurídicas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>
        <w:trPr>
          <w:trHeight w:val="46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46" w:right="140" w:hanging="0"/>
              <w:rPr>
                <w:sz w:val="20"/>
              </w:rPr>
            </w:pPr>
            <w:r>
              <w:rPr>
                <w:sz w:val="20"/>
              </w:rPr>
              <w:t>Respostas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consultas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11 pareceres e Notas Técnicas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6" w:right="139" w:hanging="0"/>
              <w:rPr>
                <w:sz w:val="20"/>
              </w:rPr>
            </w:pPr>
            <w:r>
              <w:rPr>
                <w:sz w:val="20"/>
              </w:rPr>
              <w:t>Avisos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3" w:right="140" w:hanging="0"/>
              <w:rPr>
                <w:sz w:val="20"/>
              </w:rPr>
            </w:pPr>
            <w:r>
              <w:rPr>
                <w:sz w:val="20"/>
              </w:rPr>
              <w:t>Boletins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Informativos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6" w:right="139" w:hanging="0"/>
              <w:rPr>
                <w:sz w:val="20"/>
              </w:rPr>
            </w:pPr>
            <w:r>
              <w:rPr>
                <w:sz w:val="20"/>
              </w:rPr>
              <w:t>Notícias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4" w:right="714" w:hanging="0"/>
              <w:rPr/>
            </w:pPr>
            <w:r>
              <w:rPr>
                <w:sz w:val="20"/>
              </w:rPr>
              <w:t>Instauradas</w:t>
            </w:r>
          </w:p>
          <w:p>
            <w:pPr>
              <w:pStyle w:val="TableParagraph"/>
              <w:ind w:left="724" w:right="714" w:hanging="0"/>
              <w:rPr/>
            </w:pPr>
            <w:r>
              <w:rPr>
                <w:sz w:val="20"/>
              </w:rPr>
              <w:t>1216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1013" w:hanging="0"/>
              <w:jc w:val="right"/>
              <w:rPr/>
            </w:pPr>
            <w:r>
              <w:rPr>
                <w:sz w:val="20"/>
              </w:rPr>
              <w:t>Arquivadas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>Não há dados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6" w:right="140" w:hanging="0"/>
              <w:rPr>
                <w:sz w:val="20"/>
              </w:rPr>
            </w:pPr>
            <w:r>
              <w:rPr>
                <w:sz w:val="20"/>
              </w:rPr>
              <w:t>Procedimentos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Apoio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Fim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4" w:right="714" w:hanging="0"/>
              <w:rPr/>
            </w:pPr>
            <w:r>
              <w:rPr>
                <w:sz w:val="20"/>
              </w:rPr>
              <w:t>Instauradas</w:t>
            </w:r>
          </w:p>
          <w:p>
            <w:pPr>
              <w:pStyle w:val="TableParagraph"/>
              <w:ind w:left="724" w:right="714" w:hanging="0"/>
              <w:rPr/>
            </w:pPr>
            <w:r>
              <w:rPr>
                <w:sz w:val="20"/>
              </w:rPr>
              <w:t>600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1013" w:hanging="0"/>
              <w:jc w:val="right"/>
              <w:rPr/>
            </w:pPr>
            <w:r>
              <w:rPr>
                <w:sz w:val="20"/>
              </w:rPr>
              <w:t>Arquivados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>522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4" w:right="140" w:hanging="0"/>
              <w:rPr>
                <w:sz w:val="20"/>
              </w:rPr>
            </w:pPr>
            <w:r>
              <w:rPr>
                <w:sz w:val="20"/>
              </w:rPr>
              <w:t>Procedimentos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4" w:right="714" w:hanging="0"/>
              <w:rPr/>
            </w:pPr>
            <w:r>
              <w:rPr>
                <w:sz w:val="20"/>
              </w:rPr>
              <w:t>Instaurados</w:t>
            </w:r>
          </w:p>
          <w:p>
            <w:pPr>
              <w:pStyle w:val="TableParagraph"/>
              <w:ind w:left="724" w:right="714" w:hanging="0"/>
              <w:rPr/>
            </w:pPr>
            <w:r>
              <w:rPr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1013" w:hanging="0"/>
              <w:jc w:val="right"/>
              <w:rPr/>
            </w:pPr>
            <w:r>
              <w:rPr>
                <w:sz w:val="20"/>
              </w:rPr>
              <w:t>Arquivados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600" w:right="1020" w:header="0" w:top="1320" w:footer="0" w:bottom="1417" w:gutter="0"/>
          <w:formProt w:val="false"/>
          <w:textDirection w:val="lrTb"/>
          <w:docGrid w:type="default" w:linePitch="600" w:charSpace="36864"/>
        </w:sectPr>
      </w:pPr>
    </w:p>
    <w:tbl>
      <w:tblPr>
        <w:tblW w:w="9040" w:type="dxa"/>
        <w:jc w:val="left"/>
        <w:tblInd w:w="1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44"/>
        <w:gridCol w:w="2406"/>
        <w:gridCol w:w="2990"/>
      </w:tblGrid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143" w:right="140" w:hanging="0"/>
              <w:rPr>
                <w:sz w:val="20"/>
              </w:rPr>
            </w:pPr>
            <w:r>
              <w:rPr>
                <w:sz w:val="20"/>
              </w:rPr>
              <w:t>Correspondências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113" w:right="0" w:hanging="0"/>
              <w:jc w:val="center"/>
              <w:rPr/>
            </w:pPr>
            <w:r>
              <w:rPr>
                <w:sz w:val="20"/>
              </w:rPr>
              <w:t>Emitidas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>723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57" w:right="1047" w:hanging="0"/>
              <w:rPr/>
            </w:pPr>
            <w:r>
              <w:rPr>
                <w:sz w:val="20"/>
              </w:rPr>
              <w:t>Recebidas</w:t>
            </w:r>
          </w:p>
          <w:p>
            <w:pPr>
              <w:pStyle w:val="TableParagraph"/>
              <w:ind w:left="1057" w:right="1047" w:hanging="0"/>
              <w:rPr/>
            </w:pPr>
            <w:r>
              <w:rPr>
                <w:sz w:val="20"/>
              </w:rPr>
              <w:t>123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1"/>
              <w:ind w:left="145" w:right="140" w:hanging="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atendimentos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4894 reclamações arquivadas  na Ouvidoria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1"/>
              <w:ind w:left="146" w:right="139" w:hanging="0"/>
              <w:rPr>
                <w:sz w:val="20"/>
              </w:rPr>
            </w:pPr>
            <w:r>
              <w:rPr>
                <w:sz w:val="20"/>
              </w:rPr>
              <w:t>Minutas/Modelos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Peças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produzidas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1"/>
              <w:ind w:left="146" w:right="140" w:hanging="0"/>
              <w:rPr>
                <w:sz w:val="20"/>
              </w:rPr>
            </w:pPr>
            <w:r>
              <w:rPr>
                <w:sz w:val="20"/>
              </w:rPr>
              <w:t>Pareceres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>
        <w:trPr>
          <w:trHeight w:val="4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1"/>
              <w:ind w:left="142" w:right="140" w:hanging="0"/>
              <w:rPr>
                <w:sz w:val="20"/>
              </w:rPr>
            </w:pPr>
            <w:r>
              <w:rPr>
                <w:sz w:val="20"/>
              </w:rPr>
              <w:t>Peças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disponibilizadas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>
        <w:trPr>
          <w:trHeight w:val="458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1"/>
              <w:ind w:left="143" w:right="140" w:hanging="0"/>
              <w:rPr>
                <w:sz w:val="20"/>
              </w:rPr>
            </w:pPr>
            <w:r>
              <w:rPr>
                <w:sz w:val="20"/>
              </w:rPr>
              <w:t>Entrevistas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concedidas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</w:rPr>
              <w:t>5</w:t>
            </w:r>
          </w:p>
        </w:tc>
      </w:tr>
      <w:tr>
        <w:trPr>
          <w:trHeight w:val="889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1"/>
              <w:ind w:left="145" w:right="140" w:hanging="0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produções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Publicações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Cartilha “Empréstimo consignado – Guia para não cair em ciladas”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Nota Técnica 1/22 Precificação por Unidade de Medida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rpodotexto"/>
        <w:spacing w:before="1" w:after="0"/>
        <w:rPr/>
      </w:pPr>
      <w:r>
        <w:rPr/>
      </w:r>
    </w:p>
    <w:tbl>
      <w:tblPr>
        <w:tblW w:w="9067" w:type="dxa"/>
        <w:jc w:val="left"/>
        <w:tblInd w:w="1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2"/>
        <w:gridCol w:w="5414"/>
      </w:tblGrid>
      <w:tr>
        <w:trPr>
          <w:trHeight w:val="1379" w:hRule="atLeast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40"/>
              <w:ind w:left="1302" w:right="488" w:hanging="800"/>
              <w:jc w:val="left"/>
              <w:rPr>
                <w:sz w:val="20"/>
              </w:rPr>
            </w:pPr>
            <w:r>
              <w:rPr>
                <w:sz w:val="20"/>
              </w:rPr>
              <w:t>Atuações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julgadas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40" w:right="17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40" w:right="17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Implantação do Programa de Atendimento ao Superendividado - PAS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40" w:right="17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40" w:right="17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Ações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40" w:right="17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40" w:right="170" w:hanging="0"/>
              <w:jc w:val="center"/>
              <w:rPr/>
            </w:pPr>
            <w:r>
              <w:rPr>
                <w:b w:val="false"/>
                <w:bCs w:val="false"/>
                <w:sz w:val="18"/>
                <w:szCs w:val="18"/>
              </w:rPr>
              <w:t>590 fiscalizações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40" w:right="17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ações educacionais com 1050 participantes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40" w:right="170" w:hanging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40 anos Procon-MG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Ação educativa “Procons em Ação: Preço Legal” com os Procons Municipais - precificação por unidade de medida</w:t>
              <w:br/>
              <w:t>Projeto “60+ Revelando Direitos e Desarmando Golpes”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Solenidades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Inauguração do Procon Regional de Governador Valadares</w:t>
              <w:br/>
              <w:t>Encontro Regional de Defesa do Consumidor e da Saúde no Norte de Minas</w:t>
              <w:br/>
              <w:t>Encontro Brasileiro de Procons em Juiz de Fora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Sistema de fiscalização eletrônica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Parcerias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/>
            </w:pPr>
            <w:r>
              <w:rPr>
                <w:sz w:val="18"/>
                <w:szCs w:val="18"/>
              </w:rPr>
              <w:t>TJ/PBH/Defensoria Pública/Faculdade Milton Campos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Programa de Atendimento ao superendividado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NIACon -  Núcleo Integrado de Atendimento ao Consumidor</w:t>
            </w:r>
            <w:r>
              <w:rPr>
                <w:sz w:val="18"/>
                <w:szCs w:val="18"/>
              </w:rPr>
              <w:br/>
              <w:t>Laboratório de Direito e Design da Faculdade de Direito da Universidade Federal de Uberlândia (UFU) – Visual Law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Projetos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/>
            </w:pPr>
            <w:r>
              <w:rPr>
                <w:sz w:val="18"/>
                <w:szCs w:val="18"/>
              </w:rPr>
              <w:t>Roteiros de Atuação</w:t>
              <w:br/>
            </w:r>
            <w:r>
              <w:rPr>
                <w:sz w:val="18"/>
                <w:szCs w:val="18"/>
              </w:rPr>
              <w:t>Programa Procon Mirim</w:t>
            </w:r>
            <w:r>
              <w:rPr>
                <w:sz w:val="18"/>
                <w:szCs w:val="18"/>
                <w:highlight w:val="yellow"/>
              </w:rPr>
              <w:br/>
            </w:r>
            <w:r>
              <w:rPr>
                <w:sz w:val="18"/>
                <w:szCs w:val="18"/>
              </w:rPr>
              <w:t>Projeto Vitrine Legal</w:t>
            </w:r>
            <w:r>
              <w:rPr>
                <w:sz w:val="18"/>
                <w:szCs w:val="18"/>
              </w:rPr>
              <w:br/>
              <w:t>Inteligência artificial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 xml:space="preserve">Adesão ao MPe 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Pesquisa escolas/educação aulas on-line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Ensino a Distância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 cadastros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novos usuários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inscritos em ações educacionais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Redes Sociais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publicações no Instagram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publicações do Facebook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respostas a usuários no Facebook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respostas a usuários no Instagram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Outros números 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397" w:right="22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publicações (roteiros de atuação, pareceres jurídicos, notas técnicas, aviso, publicações da DIFIS, cálculo de multas, cadastro de reclamações fundamentadas, modelos e outros)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divulgações ao Sistema Estadual de Defesa do Consumidor</w:t>
            </w:r>
          </w:p>
          <w:p>
            <w:pPr>
              <w:pStyle w:val="TableParagraph"/>
              <w:widowControl w:val="false"/>
              <w:bidi w:val="0"/>
              <w:spacing w:lineRule="auto" w:line="360" w:before="0" w:after="0"/>
              <w:ind w:left="397" w:right="22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Participações em cursos e eventos</w:t>
            </w:r>
          </w:p>
          <w:p>
            <w:pPr>
              <w:pStyle w:val="TableParagraph"/>
              <w:widowControl w:val="false"/>
              <w:bidi w:val="0"/>
              <w:spacing w:lineRule="exact" w:line="223" w:before="0" w:after="0"/>
              <w:ind w:left="0" w:right="227" w:hanging="0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001" w:right="3994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01" w:right="3994" w:hanging="0"/>
              <w:rPr>
                <w:sz w:val="20"/>
              </w:rPr>
            </w:pPr>
            <w:r>
              <w:rPr>
                <w:sz w:val="20"/>
              </w:rPr>
              <w:t>Observações</w:t>
            </w:r>
          </w:p>
        </w:tc>
      </w:tr>
    </w:tbl>
    <w:p>
      <w:pPr>
        <w:pStyle w:val="Corpodo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widowControl w:val="false"/>
        <w:bidi w:val="0"/>
        <w:spacing w:lineRule="auto" w:line="240" w:before="0" w:after="0"/>
        <w:ind w:left="3402" w:right="0" w:hanging="0"/>
        <w:jc w:val="center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112395</wp:posOffset>
                </wp:positionH>
                <wp:positionV relativeFrom="paragraph">
                  <wp:posOffset>106680</wp:posOffset>
                </wp:positionV>
                <wp:extent cx="5657850" cy="31115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40" cy="31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75680" cy="25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7280" y="306720"/>
                            <a:ext cx="32097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16" h="851">
                                <a:moveTo>
                                  <a:pt x="17015" y="833"/>
                                </a:moveTo>
                                <a:lnTo>
                                  <a:pt x="11288" y="833"/>
                                </a:lnTo>
                                <a:lnTo>
                                  <a:pt x="11270" y="833"/>
                                </a:lnTo>
                                <a:lnTo>
                                  <a:pt x="11270" y="850"/>
                                </a:lnTo>
                                <a:lnTo>
                                  <a:pt x="11288" y="850"/>
                                </a:lnTo>
                                <a:lnTo>
                                  <a:pt x="17015" y="850"/>
                                </a:lnTo>
                                <a:lnTo>
                                  <a:pt x="17015" y="833"/>
                                </a:lnTo>
                                <a:moveTo>
                                  <a:pt x="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5727" y="17"/>
                                </a:lnTo>
                                <a:lnTo>
                                  <a:pt x="5727" y="0"/>
                                </a:lnTo>
                                <a:moveTo>
                                  <a:pt x="15996" y="833"/>
                                </a:moveTo>
                                <a:lnTo>
                                  <a:pt x="15978" y="833"/>
                                </a:lnTo>
                                <a:lnTo>
                                  <a:pt x="5745" y="833"/>
                                </a:lnTo>
                                <a:lnTo>
                                  <a:pt x="5727" y="833"/>
                                </a:lnTo>
                                <a:lnTo>
                                  <a:pt x="5727" y="850"/>
                                </a:lnTo>
                                <a:lnTo>
                                  <a:pt x="5745" y="850"/>
                                </a:lnTo>
                                <a:lnTo>
                                  <a:pt x="15978" y="850"/>
                                </a:lnTo>
                                <a:lnTo>
                                  <a:pt x="15996" y="850"/>
                                </a:lnTo>
                                <a:lnTo>
                                  <a:pt x="15996" y="833"/>
                                </a:lnTo>
                                <a:moveTo>
                                  <a:pt x="15996" y="0"/>
                                </a:moveTo>
                                <a:lnTo>
                                  <a:pt x="15978" y="0"/>
                                </a:lnTo>
                                <a:lnTo>
                                  <a:pt x="5745" y="0"/>
                                </a:lnTo>
                                <a:lnTo>
                                  <a:pt x="5727" y="0"/>
                                </a:lnTo>
                                <a:lnTo>
                                  <a:pt x="5727" y="17"/>
                                </a:lnTo>
                                <a:lnTo>
                                  <a:pt x="5727" y="17"/>
                                </a:lnTo>
                                <a:lnTo>
                                  <a:pt x="5727" y="833"/>
                                </a:lnTo>
                                <a:lnTo>
                                  <a:pt x="5745" y="833"/>
                                </a:lnTo>
                                <a:lnTo>
                                  <a:pt x="5745" y="17"/>
                                </a:lnTo>
                                <a:lnTo>
                                  <a:pt x="15978" y="17"/>
                                </a:lnTo>
                                <a:lnTo>
                                  <a:pt x="15978" y="833"/>
                                </a:lnTo>
                                <a:lnTo>
                                  <a:pt x="15996" y="833"/>
                                </a:lnTo>
                                <a:lnTo>
                                  <a:pt x="15996" y="17"/>
                                </a:lnTo>
                                <a:lnTo>
                                  <a:pt x="15996" y="17"/>
                                </a:lnTo>
                                <a:lnTo>
                                  <a:pt x="1599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0"/>
                            <a:ext cx="709920" cy="31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>Coordenador responsável: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8.85pt;margin-top:8.4pt;width:445.45pt;height:24.45pt" coordorigin="177,168" coordsize="8909,489">
                <v:rect id="shape_0" fillcolor="#d9d9d9" stroked="f" style="position:absolute;left:177;top:168;width:1693;height:3">
                  <w10:wrap type="none"/>
                  <v:fill o:detectmouseclick="t" type="solid" color2="#262626"/>
                  <v:stroke color="#3465a4" joinstyle="round" endcap="flat"/>
                </v:rect>
              </v:group>
            </w:pict>
          </mc:Fallback>
        </mc:AlternateContent>
      </w:r>
      <w:r>
        <w:rPr/>
        <w:t>Glauber Sérgio Tatagiba do Carmo</w:t>
      </w:r>
    </w:p>
    <w:p>
      <w:pPr>
        <w:pStyle w:val="Corpodotexto"/>
        <w:widowControl w:val="false"/>
        <w:bidi w:val="0"/>
        <w:spacing w:lineRule="auto" w:line="240" w:before="0" w:after="0"/>
        <w:ind w:left="3402" w:right="0" w:hanging="0"/>
        <w:jc w:val="center"/>
        <w:rPr/>
      </w:pPr>
      <w:r>
        <w:rPr/>
        <w:t>Promotor de Justiça</w:t>
      </w:r>
    </w:p>
    <w:p>
      <w:pPr>
        <w:pStyle w:val="Corpodotexto"/>
        <w:widowControl w:val="false"/>
        <w:bidi w:val="0"/>
        <w:spacing w:lineRule="auto" w:line="240" w:before="0" w:after="0"/>
        <w:ind w:left="3402" w:right="0" w:hanging="0"/>
        <w:jc w:val="center"/>
        <w:rPr/>
      </w:pPr>
      <w:r>
        <w:rPr/>
        <w:t>Coordenador do Procon-MG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sectPr>
      <w:type w:val="continuous"/>
      <w:pgSz w:w="11906" w:h="16838"/>
      <w:pgMar w:left="1600" w:right="1020" w:header="0" w:top="1320" w:footer="0" w:bottom="1417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492" w:right="3073" w:hanging="0"/>
      <w:jc w:val="center"/>
      <w:outlineLvl w:val="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3"/>
      <w:ind w:left="0" w:right="140" w:hanging="0"/>
      <w:jc w:val="center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LibreOffice/6.2.8.2$Windows_X86_64 LibreOffice_project/f82ddfca21ebc1e222a662a32b25c0c9d20169ee</Application>
  <Pages>4</Pages>
  <Words>424</Words>
  <Characters>2654</Characters>
  <CharactersWithSpaces>2974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2021-10-01T14:44:29Z</dcterms:created>
  <dc:creator/>
  <dc:description/>
  <dc:language>pt-BR</dc:language>
  <cp:lastModifiedBy/>
  <dcterms:modified xsi:type="dcterms:W3CDTF">2022-07-08T13:59:54Z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2021-10-01T00:00:00Z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2021-10-01T00:00:00Z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