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7C" w:rsidRPr="0064737C" w:rsidRDefault="0064737C" w:rsidP="0064737C">
      <w:pPr>
        <w:ind w:left="-1701" w:firstLine="709"/>
        <w:jc w:val="center"/>
        <w:rPr>
          <w:rFonts w:cs="Arial"/>
          <w:b/>
          <w:sz w:val="24"/>
          <w:szCs w:val="24"/>
        </w:rPr>
      </w:pPr>
      <w:r w:rsidRPr="0064737C">
        <w:rPr>
          <w:rFonts w:cs="Arial"/>
          <w:b/>
          <w:sz w:val="24"/>
          <w:szCs w:val="24"/>
        </w:rPr>
        <w:t>EDITORIAL</w:t>
      </w:r>
    </w:p>
    <w:p w:rsidR="0064737C" w:rsidRDefault="0064737C" w:rsidP="00DB404F">
      <w:pPr>
        <w:ind w:firstLine="709"/>
        <w:jc w:val="both"/>
        <w:rPr>
          <w:rFonts w:cs="Arial"/>
          <w:sz w:val="24"/>
          <w:szCs w:val="24"/>
        </w:rPr>
      </w:pPr>
    </w:p>
    <w:p w:rsidR="00AB034B" w:rsidRPr="0064737C" w:rsidRDefault="007F1953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Em cumprimento ao determinado pel</w:t>
      </w:r>
      <w:r w:rsidR="00C95EB6" w:rsidRPr="0064737C">
        <w:rPr>
          <w:rFonts w:cs="Arial"/>
          <w:sz w:val="24"/>
          <w:szCs w:val="24"/>
        </w:rPr>
        <w:t xml:space="preserve">a Resolução CNMP nº 95/2013, apresentamos o relatório semestral da Ouvidoria </w:t>
      </w:r>
      <w:r w:rsidR="00E379A9" w:rsidRPr="0064737C">
        <w:rPr>
          <w:rFonts w:cs="Arial"/>
          <w:sz w:val="24"/>
          <w:szCs w:val="24"/>
        </w:rPr>
        <w:t xml:space="preserve">do MPMG </w:t>
      </w:r>
      <w:r w:rsidR="00C95EB6" w:rsidRPr="0064737C">
        <w:rPr>
          <w:rFonts w:cs="Arial"/>
          <w:sz w:val="24"/>
          <w:szCs w:val="24"/>
        </w:rPr>
        <w:t>referente ao período 01 de</w:t>
      </w:r>
      <w:r w:rsidR="00DB404F" w:rsidRPr="0064737C">
        <w:rPr>
          <w:rFonts w:cs="Arial"/>
          <w:sz w:val="24"/>
          <w:szCs w:val="24"/>
        </w:rPr>
        <w:t xml:space="preserve"> </w:t>
      </w:r>
      <w:r w:rsidR="00C95EB6" w:rsidRPr="0064737C">
        <w:rPr>
          <w:rFonts w:cs="Arial"/>
          <w:sz w:val="24"/>
          <w:szCs w:val="24"/>
        </w:rPr>
        <w:t>janeiro a 30 de junho de 2014.</w:t>
      </w:r>
    </w:p>
    <w:p w:rsidR="007F1953" w:rsidRPr="0064737C" w:rsidRDefault="007F1953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As estatísticas </w:t>
      </w:r>
      <w:r w:rsidR="00B05C5E" w:rsidRPr="0064737C">
        <w:rPr>
          <w:rFonts w:cs="Arial"/>
          <w:sz w:val="24"/>
          <w:szCs w:val="24"/>
        </w:rPr>
        <w:t xml:space="preserve">constam dos </w:t>
      </w:r>
      <w:r w:rsidRPr="0064737C">
        <w:rPr>
          <w:rFonts w:cs="Arial"/>
          <w:sz w:val="24"/>
          <w:szCs w:val="24"/>
        </w:rPr>
        <w:t xml:space="preserve">quadros comparativos </w:t>
      </w:r>
      <w:r w:rsidR="00B05C5E" w:rsidRPr="0064737C">
        <w:rPr>
          <w:rFonts w:cs="Arial"/>
          <w:sz w:val="24"/>
          <w:szCs w:val="24"/>
        </w:rPr>
        <w:t xml:space="preserve">que enfatizam </w:t>
      </w:r>
      <w:r w:rsidRPr="0064737C">
        <w:rPr>
          <w:rFonts w:cs="Arial"/>
          <w:sz w:val="24"/>
          <w:szCs w:val="24"/>
        </w:rPr>
        <w:t>os</w:t>
      </w:r>
      <w:proofErr w:type="gramStart"/>
      <w:r w:rsidR="00E379A9" w:rsidRPr="0064737C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 xml:space="preserve"> </w:t>
      </w:r>
      <w:proofErr w:type="gramEnd"/>
      <w:r w:rsidRPr="0064737C">
        <w:rPr>
          <w:rFonts w:cs="Arial"/>
          <w:sz w:val="24"/>
          <w:szCs w:val="24"/>
        </w:rPr>
        <w:t>primeiros  semestres d</w:t>
      </w:r>
      <w:r w:rsidR="00E379A9" w:rsidRPr="0064737C">
        <w:rPr>
          <w:rFonts w:cs="Arial"/>
          <w:sz w:val="24"/>
          <w:szCs w:val="24"/>
        </w:rPr>
        <w:t xml:space="preserve">os anos </w:t>
      </w:r>
      <w:r w:rsidRPr="0064737C">
        <w:rPr>
          <w:rFonts w:cs="Arial"/>
          <w:sz w:val="24"/>
          <w:szCs w:val="24"/>
        </w:rPr>
        <w:t xml:space="preserve"> 2012, 2013 e 2014.</w:t>
      </w:r>
    </w:p>
    <w:p w:rsidR="007464D0" w:rsidRPr="0064737C" w:rsidRDefault="00B05C5E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 Conforme demonstrado, o</w:t>
      </w:r>
      <w:r w:rsidR="007464D0" w:rsidRPr="0064737C">
        <w:rPr>
          <w:rFonts w:cs="Arial"/>
          <w:sz w:val="24"/>
          <w:szCs w:val="24"/>
        </w:rPr>
        <w:t xml:space="preserve"> comportamento quantitativo não vem so</w:t>
      </w:r>
      <w:r w:rsidRPr="0064737C">
        <w:rPr>
          <w:rFonts w:cs="Arial"/>
          <w:sz w:val="24"/>
          <w:szCs w:val="24"/>
        </w:rPr>
        <w:t>frendo variações significativas e</w:t>
      </w:r>
      <w:r w:rsidR="007464D0" w:rsidRPr="0064737C">
        <w:rPr>
          <w:rFonts w:cs="Arial"/>
          <w:sz w:val="24"/>
          <w:szCs w:val="24"/>
        </w:rPr>
        <w:t xml:space="preserve"> a tramitação continua ágil, tanto em relação ao recebimento, trâmite e</w:t>
      </w:r>
      <w:r w:rsidR="00E379A9" w:rsidRPr="0064737C">
        <w:rPr>
          <w:rFonts w:cs="Arial"/>
          <w:sz w:val="24"/>
          <w:szCs w:val="24"/>
        </w:rPr>
        <w:t xml:space="preserve"> </w:t>
      </w:r>
      <w:r w:rsidR="007464D0" w:rsidRPr="0064737C">
        <w:rPr>
          <w:rFonts w:cs="Arial"/>
          <w:sz w:val="24"/>
          <w:szCs w:val="24"/>
        </w:rPr>
        <w:t>finalização por parte do órgão responsável.</w:t>
      </w:r>
    </w:p>
    <w:p w:rsidR="0064737C" w:rsidRDefault="0064737C" w:rsidP="00DB404F">
      <w:pPr>
        <w:ind w:firstLine="709"/>
        <w:jc w:val="both"/>
        <w:rPr>
          <w:rFonts w:cs="Arial"/>
          <w:sz w:val="24"/>
          <w:szCs w:val="24"/>
        </w:rPr>
      </w:pPr>
    </w:p>
    <w:p w:rsidR="007464D0" w:rsidRPr="0064737C" w:rsidRDefault="007464D0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 classificação adotada pelo MPMG foi </w:t>
      </w:r>
      <w:r w:rsidR="00B05C5E" w:rsidRPr="0064737C">
        <w:rPr>
          <w:rFonts w:cs="Arial"/>
          <w:sz w:val="24"/>
          <w:szCs w:val="24"/>
        </w:rPr>
        <w:t xml:space="preserve">definida pelo CNMP e </w:t>
      </w:r>
      <w:r w:rsidRPr="0064737C">
        <w:rPr>
          <w:rFonts w:cs="Arial"/>
          <w:sz w:val="24"/>
          <w:szCs w:val="24"/>
        </w:rPr>
        <w:t>padronizada</w:t>
      </w:r>
      <w:proofErr w:type="gramStart"/>
      <w:r w:rsidRPr="0064737C">
        <w:rPr>
          <w:rFonts w:cs="Arial"/>
          <w:sz w:val="24"/>
          <w:szCs w:val="24"/>
        </w:rPr>
        <w:t xml:space="preserve"> </w:t>
      </w:r>
      <w:r w:rsidR="00B05C5E" w:rsidRPr="0064737C">
        <w:rPr>
          <w:rFonts w:cs="Arial"/>
          <w:sz w:val="24"/>
          <w:szCs w:val="24"/>
        </w:rPr>
        <w:t xml:space="preserve"> </w:t>
      </w:r>
      <w:proofErr w:type="gramEnd"/>
      <w:r w:rsidR="00B05C5E" w:rsidRPr="0064737C">
        <w:rPr>
          <w:rFonts w:cs="Arial"/>
          <w:sz w:val="24"/>
          <w:szCs w:val="24"/>
        </w:rPr>
        <w:t xml:space="preserve">pelo Ministério Público da União e dos Estados </w:t>
      </w:r>
      <w:r w:rsidRPr="0064737C">
        <w:rPr>
          <w:rFonts w:cs="Arial"/>
          <w:sz w:val="24"/>
          <w:szCs w:val="24"/>
        </w:rPr>
        <w:t>nos seguintes grupos:</w:t>
      </w:r>
    </w:p>
    <w:p w:rsidR="00E379A9" w:rsidRPr="0064737C" w:rsidRDefault="00E379A9" w:rsidP="00DB404F">
      <w:pPr>
        <w:ind w:left="708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RECLAMAÇÃO: É a manifestação de insatisfação, desagrado, protesto sobre um serviço prestado, ação ou omissão do Ministério Público, da administração em geral e/ou servidor público, que o manifestante considera ineficiente, ineficaz e não efetivo.</w:t>
      </w:r>
      <w:r w:rsidRPr="0064737C">
        <w:rPr>
          <w:rFonts w:cs="Arial"/>
          <w:sz w:val="24"/>
          <w:szCs w:val="24"/>
        </w:rPr>
        <w:br/>
        <w:t>- DENÚNCIA: É a manifestação revestida de gravidade, atribuindo a responsabilidade do fato a instituição, órgão externo ou interno à instituição, agente público, pessoa física ou pessoa jurídica.</w:t>
      </w:r>
      <w:r w:rsidRPr="0064737C">
        <w:rPr>
          <w:rFonts w:cs="Arial"/>
          <w:sz w:val="24"/>
          <w:szCs w:val="24"/>
        </w:rPr>
        <w:br/>
        <w:t>- CRÍTICA: Manifestação que implica censura a ato, procedimento ou posição adotada pela instituição, por meio de seus órgãos, agentes ou servidores públicos.</w:t>
      </w:r>
      <w:r w:rsidRPr="0064737C">
        <w:rPr>
          <w:rFonts w:cs="Arial"/>
          <w:sz w:val="24"/>
          <w:szCs w:val="24"/>
        </w:rPr>
        <w:br/>
        <w:t>- SUGESTÃO: É a proposta de melhoria, aprimoramento dos serviços pelo Ministério Público, ou outros órgãos e instituições públicas.</w:t>
      </w:r>
      <w:r w:rsidRPr="0064737C">
        <w:rPr>
          <w:rFonts w:cs="Arial"/>
          <w:sz w:val="24"/>
          <w:szCs w:val="24"/>
        </w:rPr>
        <w:br/>
        <w:t>- SOLICITAÇÃO DE PROVIDÊNCIA E/OU INFORMAÇÃO: Consiste no pedido de informação e/ou providência ao Ministério Público.</w:t>
      </w:r>
      <w:r w:rsidRPr="0064737C">
        <w:rPr>
          <w:rFonts w:cs="Arial"/>
          <w:sz w:val="24"/>
          <w:szCs w:val="24"/>
        </w:rPr>
        <w:br/>
        <w:t>- ELOGIO: É a manifestação de satisfação, apreço, identificação de aspectos positivos na prestação de serviço público ou reconhecimento sobre a qualidade do serviço recebido.</w:t>
      </w:r>
    </w:p>
    <w:p w:rsidR="0064737C" w:rsidRDefault="0064737C" w:rsidP="00DB404F">
      <w:pPr>
        <w:ind w:firstLine="709"/>
        <w:jc w:val="both"/>
        <w:rPr>
          <w:rFonts w:cs="Arial"/>
          <w:sz w:val="24"/>
          <w:szCs w:val="24"/>
        </w:rPr>
      </w:pPr>
    </w:p>
    <w:p w:rsidR="0064737C" w:rsidRDefault="0064737C" w:rsidP="00DB404F">
      <w:pPr>
        <w:ind w:firstLine="709"/>
        <w:jc w:val="both"/>
        <w:rPr>
          <w:rFonts w:cs="Arial"/>
          <w:sz w:val="24"/>
          <w:szCs w:val="24"/>
        </w:rPr>
      </w:pPr>
    </w:p>
    <w:p w:rsidR="007464D0" w:rsidRPr="0064737C" w:rsidRDefault="00B05C5E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Através de relatório estatístico do</w:t>
      </w:r>
      <w:r w:rsidR="007464D0" w:rsidRPr="0064737C">
        <w:rPr>
          <w:rFonts w:cs="Arial"/>
          <w:sz w:val="24"/>
          <w:szCs w:val="24"/>
        </w:rPr>
        <w:t xml:space="preserve"> </w:t>
      </w:r>
      <w:r w:rsidR="007464D0" w:rsidRPr="0064737C">
        <w:rPr>
          <w:rFonts w:cs="Arial"/>
          <w:sz w:val="24"/>
          <w:szCs w:val="24"/>
          <w:u w:val="single"/>
        </w:rPr>
        <w:t>objetivo da manifestação</w:t>
      </w:r>
      <w:r w:rsidR="007464D0" w:rsidRPr="0064737C">
        <w:rPr>
          <w:rFonts w:cs="Arial"/>
          <w:sz w:val="24"/>
          <w:szCs w:val="24"/>
        </w:rPr>
        <w:t xml:space="preserve">, </w:t>
      </w:r>
      <w:r w:rsidR="00E379A9" w:rsidRPr="0064737C">
        <w:rPr>
          <w:rFonts w:cs="Arial"/>
          <w:sz w:val="24"/>
          <w:szCs w:val="24"/>
        </w:rPr>
        <w:t>foi elaborado</w:t>
      </w:r>
      <w:r w:rsidR="007464D0" w:rsidRPr="0064737C">
        <w:rPr>
          <w:rFonts w:cs="Arial"/>
          <w:sz w:val="24"/>
          <w:szCs w:val="24"/>
        </w:rPr>
        <w:t xml:space="preserve"> o comparativo dos primeiros semestres dos exercícios 2012, 2013 e </w:t>
      </w:r>
      <w:proofErr w:type="gramStart"/>
      <w:r w:rsidR="007464D0" w:rsidRPr="0064737C">
        <w:rPr>
          <w:rFonts w:cs="Arial"/>
          <w:sz w:val="24"/>
          <w:szCs w:val="24"/>
        </w:rPr>
        <w:t xml:space="preserve">2014 </w:t>
      </w:r>
      <w:r w:rsidRPr="0064737C">
        <w:rPr>
          <w:rFonts w:cs="Arial"/>
          <w:sz w:val="24"/>
          <w:szCs w:val="24"/>
        </w:rPr>
        <w:t>,</w:t>
      </w:r>
      <w:proofErr w:type="gramEnd"/>
      <w:r w:rsidRPr="0064737C">
        <w:rPr>
          <w:rFonts w:cs="Arial"/>
          <w:sz w:val="24"/>
          <w:szCs w:val="24"/>
        </w:rPr>
        <w:t xml:space="preserve"> chegando-se à </w:t>
      </w:r>
      <w:r w:rsidR="007464D0" w:rsidRPr="0064737C">
        <w:rPr>
          <w:rFonts w:cs="Arial"/>
          <w:sz w:val="24"/>
          <w:szCs w:val="24"/>
        </w:rPr>
        <w:t>seguinte  movimentação: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50"/>
        <w:gridCol w:w="1823"/>
        <w:gridCol w:w="1260"/>
        <w:gridCol w:w="1260"/>
        <w:gridCol w:w="1260"/>
        <w:gridCol w:w="36"/>
        <w:gridCol w:w="36"/>
        <w:gridCol w:w="36"/>
      </w:tblGrid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1º sem/2012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1º sem/2013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1º sem/2014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Denúncia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8489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9036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7579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shd w:val="clear" w:color="auto" w:fill="FFFF00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Informação + </w:t>
            </w:r>
            <w:proofErr w:type="spellStart"/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</w:t>
            </w:r>
            <w:proofErr w:type="spellEnd"/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LAI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479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653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Solicitação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Reclamação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Crítica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Elogio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79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Sugestão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379A9" w:rsidRPr="00D33C76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33C76">
              <w:rPr>
                <w:rFonts w:ascii="Arial" w:eastAsia="Times New Roman" w:hAnsi="Arial" w:cs="Arial"/>
                <w:lang w:eastAsia="pt-B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79A9" w:rsidRPr="00E379A9" w:rsidTr="00E379A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23" w:type="dxa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379A9" w:rsidRPr="00E379A9" w:rsidRDefault="00E379A9" w:rsidP="00DB404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DD5CB4" w:rsidRPr="0064737C" w:rsidRDefault="00DD5CB4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Em 2014, após a regulamentação da L</w:t>
      </w:r>
      <w:r w:rsidR="005C09C5" w:rsidRPr="0064737C">
        <w:rPr>
          <w:rFonts w:cs="Arial"/>
          <w:sz w:val="24"/>
          <w:szCs w:val="24"/>
        </w:rPr>
        <w:t xml:space="preserve">ei de </w:t>
      </w:r>
      <w:r w:rsidRPr="0064737C">
        <w:rPr>
          <w:rFonts w:cs="Arial"/>
          <w:sz w:val="24"/>
          <w:szCs w:val="24"/>
        </w:rPr>
        <w:t>A</w:t>
      </w:r>
      <w:r w:rsidR="005C09C5" w:rsidRPr="0064737C">
        <w:rPr>
          <w:rFonts w:cs="Arial"/>
          <w:sz w:val="24"/>
          <w:szCs w:val="24"/>
        </w:rPr>
        <w:t xml:space="preserve">cesso à </w:t>
      </w:r>
      <w:r w:rsidRPr="0064737C">
        <w:rPr>
          <w:rFonts w:cs="Arial"/>
          <w:sz w:val="24"/>
          <w:szCs w:val="24"/>
        </w:rPr>
        <w:t>I</w:t>
      </w:r>
      <w:r w:rsidR="005C09C5" w:rsidRPr="0064737C">
        <w:rPr>
          <w:rFonts w:cs="Arial"/>
          <w:sz w:val="24"/>
          <w:szCs w:val="24"/>
        </w:rPr>
        <w:t>nformação</w:t>
      </w:r>
      <w:r w:rsidRPr="0064737C">
        <w:rPr>
          <w:rFonts w:cs="Arial"/>
          <w:sz w:val="24"/>
          <w:szCs w:val="24"/>
        </w:rPr>
        <w:t xml:space="preserve">, </w:t>
      </w:r>
      <w:r w:rsidR="005C09C5" w:rsidRPr="0064737C">
        <w:rPr>
          <w:rFonts w:cs="Arial"/>
          <w:sz w:val="24"/>
          <w:szCs w:val="24"/>
        </w:rPr>
        <w:t>fez-se necessário desmembrar os pedidos</w:t>
      </w:r>
      <w:r w:rsidR="00D33C76" w:rsidRPr="0064737C">
        <w:rPr>
          <w:rFonts w:cs="Arial"/>
          <w:sz w:val="24"/>
          <w:szCs w:val="24"/>
        </w:rPr>
        <w:t xml:space="preserve"> </w:t>
      </w:r>
      <w:r w:rsidR="005C09C5" w:rsidRPr="0064737C">
        <w:rPr>
          <w:rFonts w:cs="Arial"/>
          <w:sz w:val="24"/>
          <w:szCs w:val="24"/>
        </w:rPr>
        <w:t xml:space="preserve">de mera informação da informação privilegiada de que trata a </w:t>
      </w:r>
      <w:proofErr w:type="gramStart"/>
      <w:r w:rsidR="005C09C5" w:rsidRPr="0064737C">
        <w:rPr>
          <w:rFonts w:cs="Arial"/>
          <w:sz w:val="24"/>
          <w:szCs w:val="24"/>
        </w:rPr>
        <w:t>LAI(</w:t>
      </w:r>
      <w:proofErr w:type="gramEnd"/>
      <w:r w:rsidR="005C09C5" w:rsidRPr="0064737C">
        <w:rPr>
          <w:rFonts w:cs="Arial"/>
          <w:sz w:val="24"/>
          <w:szCs w:val="24"/>
        </w:rPr>
        <w:t xml:space="preserve">*) </w:t>
      </w:r>
      <w:r w:rsidRPr="0064737C">
        <w:rPr>
          <w:rFonts w:cs="Arial"/>
          <w:sz w:val="24"/>
          <w:szCs w:val="24"/>
        </w:rPr>
        <w:t xml:space="preserve"> cujos quantitativos </w:t>
      </w:r>
      <w:r w:rsidR="005C09C5" w:rsidRPr="0064737C">
        <w:rPr>
          <w:rFonts w:cs="Arial"/>
          <w:sz w:val="24"/>
          <w:szCs w:val="24"/>
        </w:rPr>
        <w:t>tiveram aumento considerável.</w:t>
      </w:r>
    </w:p>
    <w:p w:rsidR="005C09C5" w:rsidRPr="0064737C" w:rsidRDefault="00E379A9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Observa-se que</w:t>
      </w:r>
      <w:r w:rsidR="005C09C5" w:rsidRPr="0064737C">
        <w:rPr>
          <w:rFonts w:cs="Arial"/>
          <w:sz w:val="24"/>
          <w:szCs w:val="24"/>
        </w:rPr>
        <w:t>, a partir de 2014</w:t>
      </w:r>
      <w:r w:rsidR="00D33C76" w:rsidRPr="0064737C">
        <w:rPr>
          <w:rFonts w:cs="Arial"/>
          <w:sz w:val="24"/>
          <w:szCs w:val="24"/>
        </w:rPr>
        <w:t>,</w:t>
      </w:r>
      <w:r w:rsidR="005C09C5" w:rsidRPr="0064737C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 xml:space="preserve">os pedidos de informação </w:t>
      </w:r>
      <w:r w:rsidR="005C09C5" w:rsidRPr="0064737C">
        <w:rPr>
          <w:rFonts w:cs="Arial"/>
          <w:sz w:val="24"/>
          <w:szCs w:val="24"/>
        </w:rPr>
        <w:t xml:space="preserve">que </w:t>
      </w:r>
      <w:r w:rsidRPr="0064737C">
        <w:rPr>
          <w:rFonts w:cs="Arial"/>
          <w:sz w:val="24"/>
          <w:szCs w:val="24"/>
        </w:rPr>
        <w:t>ocupavam quantitativamente a quarta posição em 2012 e 2013</w:t>
      </w:r>
      <w:r w:rsidR="005C09C5" w:rsidRPr="0064737C">
        <w:rPr>
          <w:rFonts w:cs="Arial"/>
          <w:sz w:val="24"/>
          <w:szCs w:val="24"/>
        </w:rPr>
        <w:t>, passaram a ocupar</w:t>
      </w:r>
      <w:r w:rsidR="00D33C76" w:rsidRPr="0064737C">
        <w:rPr>
          <w:rFonts w:cs="Arial"/>
          <w:sz w:val="24"/>
          <w:szCs w:val="24"/>
        </w:rPr>
        <w:t xml:space="preserve"> </w:t>
      </w:r>
      <w:r w:rsidR="005C09C5" w:rsidRPr="0064737C">
        <w:rPr>
          <w:rFonts w:cs="Arial"/>
          <w:sz w:val="24"/>
          <w:szCs w:val="24"/>
        </w:rPr>
        <w:t xml:space="preserve">a segunda posição dentre os </w:t>
      </w:r>
      <w:r w:rsidRPr="0064737C">
        <w:rPr>
          <w:rFonts w:cs="Arial"/>
          <w:sz w:val="24"/>
          <w:szCs w:val="24"/>
        </w:rPr>
        <w:t>objetivo</w:t>
      </w:r>
      <w:r w:rsidR="005C09C5" w:rsidRPr="0064737C">
        <w:rPr>
          <w:rFonts w:cs="Arial"/>
          <w:sz w:val="24"/>
          <w:szCs w:val="24"/>
        </w:rPr>
        <w:t>s</w:t>
      </w:r>
      <w:r w:rsidRPr="0064737C">
        <w:rPr>
          <w:rFonts w:cs="Arial"/>
          <w:sz w:val="24"/>
          <w:szCs w:val="24"/>
        </w:rPr>
        <w:t xml:space="preserve"> </w:t>
      </w:r>
      <w:r w:rsidR="00D33C76" w:rsidRPr="0064737C">
        <w:rPr>
          <w:rFonts w:cs="Arial"/>
          <w:sz w:val="24"/>
          <w:szCs w:val="24"/>
        </w:rPr>
        <w:t>mais demandados pelos</w:t>
      </w:r>
      <w:r w:rsidR="005C09C5" w:rsidRPr="0064737C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>m</w:t>
      </w:r>
      <w:r w:rsidR="00D33C76" w:rsidRPr="0064737C">
        <w:rPr>
          <w:rFonts w:cs="Arial"/>
          <w:sz w:val="24"/>
          <w:szCs w:val="24"/>
        </w:rPr>
        <w:t>anifestantes</w:t>
      </w:r>
      <w:r w:rsidR="005C09C5" w:rsidRPr="0064737C">
        <w:rPr>
          <w:rFonts w:cs="Arial"/>
          <w:sz w:val="24"/>
          <w:szCs w:val="24"/>
        </w:rPr>
        <w:t>.</w:t>
      </w:r>
    </w:p>
    <w:p w:rsidR="003F6DDF" w:rsidRPr="0064737C" w:rsidRDefault="005C09C5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Essa conclusão é de se considerar</w:t>
      </w:r>
      <w:proofErr w:type="gramStart"/>
      <w:r w:rsidRPr="0064737C">
        <w:rPr>
          <w:rFonts w:cs="Arial"/>
          <w:sz w:val="24"/>
          <w:szCs w:val="24"/>
        </w:rPr>
        <w:t xml:space="preserve">  </w:t>
      </w:r>
      <w:proofErr w:type="gramEnd"/>
      <w:r w:rsidRPr="0064737C">
        <w:rPr>
          <w:rFonts w:cs="Arial"/>
          <w:sz w:val="24"/>
          <w:szCs w:val="24"/>
        </w:rPr>
        <w:t xml:space="preserve">tendo em vista que, em relação ao total geral das manifestações  não </w:t>
      </w:r>
      <w:r w:rsidR="003F6DDF" w:rsidRPr="0064737C">
        <w:rPr>
          <w:rFonts w:cs="Arial"/>
          <w:sz w:val="24"/>
          <w:szCs w:val="24"/>
        </w:rPr>
        <w:t xml:space="preserve">houve variação quantitativa significativa </w:t>
      </w:r>
      <w:r w:rsidR="00483115" w:rsidRPr="0064737C">
        <w:rPr>
          <w:rFonts w:cs="Arial"/>
          <w:sz w:val="24"/>
          <w:szCs w:val="24"/>
        </w:rPr>
        <w:t>n</w:t>
      </w:r>
      <w:r w:rsidR="003F6DDF" w:rsidRPr="0064737C">
        <w:rPr>
          <w:rFonts w:cs="Arial"/>
          <w:sz w:val="24"/>
          <w:szCs w:val="24"/>
        </w:rPr>
        <w:t>o primeiro  semestre de  2014 (9.531)</w:t>
      </w:r>
      <w:r w:rsidR="0068084B" w:rsidRPr="0064737C">
        <w:rPr>
          <w:rFonts w:cs="Arial"/>
          <w:sz w:val="24"/>
          <w:szCs w:val="24"/>
        </w:rPr>
        <w:t xml:space="preserve"> em relação ao mesmo período  de </w:t>
      </w:r>
      <w:r w:rsidR="003F6DDF" w:rsidRPr="0064737C">
        <w:rPr>
          <w:rFonts w:cs="Arial"/>
          <w:sz w:val="24"/>
          <w:szCs w:val="24"/>
        </w:rPr>
        <w:t xml:space="preserve"> 2012 (10.335) e 2013 (11.737).</w:t>
      </w:r>
    </w:p>
    <w:p w:rsidR="0068084B" w:rsidRPr="0064737C" w:rsidRDefault="0068084B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Constatação  importante da estatística relativa ao período de 2012 a 2014, e   que evidencia um maior esclarecimento dos manifestantes </w:t>
      </w:r>
      <w:r w:rsidR="00E704DF" w:rsidRPr="0064737C">
        <w:rPr>
          <w:rFonts w:cs="Arial"/>
          <w:sz w:val="24"/>
          <w:szCs w:val="24"/>
        </w:rPr>
        <w:t>em relação  à clareza das manifestações e sua sustentação probatória</w:t>
      </w:r>
      <w:r w:rsidRPr="0064737C">
        <w:rPr>
          <w:rFonts w:cs="Arial"/>
          <w:sz w:val="24"/>
          <w:szCs w:val="24"/>
        </w:rPr>
        <w:t xml:space="preserve">,  é a </w:t>
      </w:r>
      <w:r w:rsidR="006B2BD4" w:rsidRPr="0064737C">
        <w:rPr>
          <w:rFonts w:cs="Arial"/>
          <w:sz w:val="24"/>
          <w:szCs w:val="24"/>
        </w:rPr>
        <w:t xml:space="preserve">diminuição </w:t>
      </w:r>
      <w:r w:rsidRPr="0064737C">
        <w:rPr>
          <w:rFonts w:cs="Arial"/>
          <w:sz w:val="24"/>
          <w:szCs w:val="24"/>
        </w:rPr>
        <w:t xml:space="preserve">considerável </w:t>
      </w:r>
      <w:r w:rsidR="006B2BD4" w:rsidRPr="0064737C">
        <w:rPr>
          <w:rFonts w:cs="Arial"/>
          <w:sz w:val="24"/>
          <w:szCs w:val="24"/>
        </w:rPr>
        <w:t>das manifestações classificadas como inválidas</w:t>
      </w:r>
      <w:r w:rsidR="00E704DF" w:rsidRPr="0064737C">
        <w:rPr>
          <w:rFonts w:cs="Arial"/>
          <w:sz w:val="24"/>
          <w:szCs w:val="24"/>
        </w:rPr>
        <w:t xml:space="preserve"> por falta total de razoabilidade</w:t>
      </w:r>
      <w:r w:rsidR="006B2BD4" w:rsidRPr="0064737C">
        <w:rPr>
          <w:rFonts w:cs="Arial"/>
          <w:sz w:val="24"/>
          <w:szCs w:val="24"/>
        </w:rPr>
        <w:t xml:space="preserve">. </w:t>
      </w:r>
    </w:p>
    <w:p w:rsidR="007860D6" w:rsidRPr="0064737C" w:rsidRDefault="006B2BD4" w:rsidP="007860D6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Por outro lado </w:t>
      </w:r>
      <w:r w:rsidR="00E704DF" w:rsidRPr="0064737C">
        <w:rPr>
          <w:rFonts w:cs="Arial"/>
          <w:sz w:val="24"/>
          <w:szCs w:val="24"/>
        </w:rPr>
        <w:t xml:space="preserve">detectou-se </w:t>
      </w:r>
      <w:r w:rsidRPr="0064737C">
        <w:rPr>
          <w:rFonts w:cs="Arial"/>
          <w:sz w:val="24"/>
          <w:szCs w:val="24"/>
        </w:rPr>
        <w:t>pequena variação para menor</w:t>
      </w:r>
      <w:r w:rsidR="00DD5CB4" w:rsidRPr="0064737C">
        <w:rPr>
          <w:rFonts w:cs="Arial"/>
          <w:sz w:val="24"/>
          <w:szCs w:val="24"/>
        </w:rPr>
        <w:t xml:space="preserve"> </w:t>
      </w:r>
      <w:r w:rsidR="00E704DF" w:rsidRPr="0064737C">
        <w:rPr>
          <w:rFonts w:cs="Arial"/>
          <w:sz w:val="24"/>
          <w:szCs w:val="24"/>
        </w:rPr>
        <w:t>nas finalizações. Porém, c</w:t>
      </w:r>
      <w:r w:rsidRPr="0064737C">
        <w:rPr>
          <w:rFonts w:cs="Arial"/>
          <w:sz w:val="24"/>
          <w:szCs w:val="24"/>
        </w:rPr>
        <w:t xml:space="preserve">onsiderando 3,1% uma variação </w:t>
      </w:r>
      <w:r w:rsidR="00E704DF" w:rsidRPr="0064737C">
        <w:rPr>
          <w:rFonts w:cs="Arial"/>
          <w:sz w:val="24"/>
          <w:szCs w:val="24"/>
        </w:rPr>
        <w:t xml:space="preserve">aceitável </w:t>
      </w:r>
      <w:r w:rsidRPr="0064737C">
        <w:rPr>
          <w:rFonts w:cs="Arial"/>
          <w:sz w:val="24"/>
          <w:szCs w:val="24"/>
        </w:rPr>
        <w:t>num universo de 90% de finalizações, isto não é preocupante.</w:t>
      </w:r>
    </w:p>
    <w:p w:rsidR="007F1953" w:rsidRPr="0064737C" w:rsidRDefault="007F1953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A área de atuação mais demandada historicamente </w:t>
      </w:r>
      <w:r w:rsidR="00E704DF" w:rsidRPr="0064737C">
        <w:rPr>
          <w:rFonts w:cs="Arial"/>
          <w:sz w:val="24"/>
          <w:szCs w:val="24"/>
        </w:rPr>
        <w:t xml:space="preserve">refere-se à improbidade administrativa que </w:t>
      </w:r>
      <w:r w:rsidRPr="0064737C">
        <w:rPr>
          <w:rFonts w:cs="Arial"/>
          <w:sz w:val="24"/>
          <w:szCs w:val="24"/>
        </w:rPr>
        <w:t xml:space="preserve"> corre</w:t>
      </w:r>
      <w:r w:rsidR="007464D0" w:rsidRPr="0064737C">
        <w:rPr>
          <w:rFonts w:cs="Arial"/>
          <w:sz w:val="24"/>
          <w:szCs w:val="24"/>
        </w:rPr>
        <w:t>s</w:t>
      </w:r>
      <w:r w:rsidR="00E704DF" w:rsidRPr="0064737C">
        <w:rPr>
          <w:rFonts w:cs="Arial"/>
          <w:sz w:val="24"/>
          <w:szCs w:val="24"/>
        </w:rPr>
        <w:t>ponde</w:t>
      </w:r>
      <w:r w:rsidRPr="0064737C">
        <w:rPr>
          <w:rFonts w:cs="Arial"/>
          <w:sz w:val="24"/>
          <w:szCs w:val="24"/>
        </w:rPr>
        <w:t xml:space="preserve"> a </w:t>
      </w:r>
      <w:r w:rsidR="006B2BD4" w:rsidRPr="0064737C">
        <w:rPr>
          <w:rFonts w:cs="Arial"/>
          <w:sz w:val="24"/>
          <w:szCs w:val="24"/>
        </w:rPr>
        <w:t>35,3</w:t>
      </w:r>
      <w:r w:rsidRPr="0064737C">
        <w:rPr>
          <w:rFonts w:cs="Arial"/>
          <w:sz w:val="24"/>
          <w:szCs w:val="24"/>
        </w:rPr>
        <w:t xml:space="preserve">% </w:t>
      </w:r>
      <w:r w:rsidR="006B2BD4" w:rsidRPr="0064737C">
        <w:rPr>
          <w:rFonts w:cs="Arial"/>
          <w:sz w:val="24"/>
          <w:szCs w:val="24"/>
        </w:rPr>
        <w:t>d</w:t>
      </w:r>
      <w:r w:rsidRPr="0064737C">
        <w:rPr>
          <w:rFonts w:cs="Arial"/>
          <w:sz w:val="24"/>
          <w:szCs w:val="24"/>
        </w:rPr>
        <w:t xml:space="preserve">o total </w:t>
      </w:r>
      <w:r w:rsidR="00DD5CB4" w:rsidRPr="0064737C">
        <w:rPr>
          <w:rFonts w:cs="Arial"/>
          <w:sz w:val="24"/>
          <w:szCs w:val="24"/>
        </w:rPr>
        <w:t>de manifestações recebidas</w:t>
      </w:r>
      <w:r w:rsidR="006B2BD4" w:rsidRPr="0064737C">
        <w:rPr>
          <w:rFonts w:cs="Arial"/>
          <w:sz w:val="24"/>
          <w:szCs w:val="24"/>
        </w:rPr>
        <w:t>.</w:t>
      </w:r>
    </w:p>
    <w:p w:rsidR="006B2BD4" w:rsidRPr="0064737C" w:rsidRDefault="00B61345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A forma de contato e de resposta mais incid</w:t>
      </w:r>
      <w:r w:rsidR="00DD5CB4" w:rsidRPr="0064737C">
        <w:rPr>
          <w:rFonts w:cs="Arial"/>
          <w:sz w:val="24"/>
          <w:szCs w:val="24"/>
        </w:rPr>
        <w:t>entes continua sendo a internet, fato que</w:t>
      </w:r>
      <w:r w:rsidR="00E704DF" w:rsidRPr="0064737C">
        <w:rPr>
          <w:rFonts w:cs="Arial"/>
          <w:sz w:val="24"/>
          <w:szCs w:val="24"/>
        </w:rPr>
        <w:t xml:space="preserve">, a princípio, </w:t>
      </w:r>
      <w:r w:rsidR="00DD5CB4" w:rsidRPr="0064737C">
        <w:rPr>
          <w:rFonts w:cs="Arial"/>
          <w:sz w:val="24"/>
          <w:szCs w:val="24"/>
        </w:rPr>
        <w:t xml:space="preserve"> não tende a mudar.</w:t>
      </w:r>
    </w:p>
    <w:p w:rsidR="00E704DF" w:rsidRPr="0064737C" w:rsidRDefault="00E704DF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Das manifestações classificadas as </w:t>
      </w:r>
      <w:r w:rsidR="00B61345" w:rsidRPr="0064737C">
        <w:rPr>
          <w:rFonts w:cs="Arial"/>
          <w:sz w:val="24"/>
          <w:szCs w:val="24"/>
        </w:rPr>
        <w:t xml:space="preserve"> denúncias correspondem a </w:t>
      </w:r>
      <w:r w:rsidRPr="0064737C">
        <w:rPr>
          <w:rFonts w:cs="Arial"/>
          <w:sz w:val="24"/>
          <w:szCs w:val="24"/>
        </w:rPr>
        <w:t xml:space="preserve">80,5% dos objetivos de </w:t>
      </w:r>
      <w:r w:rsidR="007464D0" w:rsidRPr="0064737C">
        <w:rPr>
          <w:rFonts w:cs="Arial"/>
          <w:sz w:val="24"/>
          <w:szCs w:val="24"/>
        </w:rPr>
        <w:t xml:space="preserve"> contato</w:t>
      </w:r>
      <w:r w:rsidRPr="0064737C">
        <w:rPr>
          <w:rFonts w:cs="Arial"/>
          <w:sz w:val="24"/>
          <w:szCs w:val="24"/>
        </w:rPr>
        <w:t xml:space="preserve"> do cidadão.</w:t>
      </w:r>
    </w:p>
    <w:p w:rsidR="001033A9" w:rsidRPr="0064737C" w:rsidRDefault="007464D0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A</w:t>
      </w:r>
      <w:r w:rsidR="00E704DF" w:rsidRPr="0064737C">
        <w:rPr>
          <w:rFonts w:cs="Arial"/>
          <w:sz w:val="24"/>
          <w:szCs w:val="24"/>
        </w:rPr>
        <w:t>pesar do intenso trabalho de conscientização</w:t>
      </w:r>
      <w:r w:rsidR="00E0526E" w:rsidRPr="0064737C">
        <w:rPr>
          <w:rFonts w:cs="Arial"/>
          <w:sz w:val="24"/>
          <w:szCs w:val="24"/>
        </w:rPr>
        <w:t xml:space="preserve"> </w:t>
      </w:r>
      <w:r w:rsidR="00E704DF" w:rsidRPr="0064737C">
        <w:rPr>
          <w:rFonts w:cs="Arial"/>
          <w:sz w:val="24"/>
          <w:szCs w:val="24"/>
        </w:rPr>
        <w:t>realizado pela Ouvidoria, em relação à</w:t>
      </w:r>
      <w:proofErr w:type="gramStart"/>
      <w:r w:rsidR="00E704DF" w:rsidRPr="0064737C">
        <w:rPr>
          <w:rFonts w:cs="Arial"/>
          <w:sz w:val="24"/>
          <w:szCs w:val="24"/>
        </w:rPr>
        <w:t xml:space="preserve">  </w:t>
      </w:r>
      <w:proofErr w:type="gramEnd"/>
      <w:r w:rsidR="00E704DF" w:rsidRPr="0064737C">
        <w:rPr>
          <w:rFonts w:cs="Arial"/>
          <w:sz w:val="24"/>
          <w:szCs w:val="24"/>
        </w:rPr>
        <w:t xml:space="preserve">necessidade de identificação  de autoria </w:t>
      </w:r>
      <w:r w:rsidR="001033A9" w:rsidRPr="0064737C">
        <w:rPr>
          <w:rFonts w:cs="Arial"/>
          <w:sz w:val="24"/>
          <w:szCs w:val="24"/>
        </w:rPr>
        <w:t xml:space="preserve"> para uma </w:t>
      </w:r>
      <w:r w:rsidR="00E704DF" w:rsidRPr="0064737C">
        <w:rPr>
          <w:rFonts w:cs="Arial"/>
          <w:sz w:val="24"/>
          <w:szCs w:val="24"/>
        </w:rPr>
        <w:t xml:space="preserve"> investigação </w:t>
      </w:r>
      <w:r w:rsidR="001033A9" w:rsidRPr="0064737C">
        <w:rPr>
          <w:rFonts w:cs="Arial"/>
          <w:sz w:val="24"/>
          <w:szCs w:val="24"/>
        </w:rPr>
        <w:t xml:space="preserve">mais célere </w:t>
      </w:r>
      <w:r w:rsidR="00E704DF" w:rsidRPr="0064737C">
        <w:rPr>
          <w:rFonts w:cs="Arial"/>
          <w:sz w:val="24"/>
          <w:szCs w:val="24"/>
        </w:rPr>
        <w:t xml:space="preserve">e </w:t>
      </w:r>
      <w:r w:rsidR="001033A9" w:rsidRPr="0064737C">
        <w:rPr>
          <w:rFonts w:cs="Arial"/>
          <w:sz w:val="24"/>
          <w:szCs w:val="24"/>
        </w:rPr>
        <w:t xml:space="preserve">melhores resultados, a cultura do medo ainda prevalece sobre a cultura da </w:t>
      </w:r>
      <w:proofErr w:type="spellStart"/>
      <w:r w:rsidR="001033A9" w:rsidRPr="0064737C">
        <w:rPr>
          <w:rFonts w:cs="Arial"/>
          <w:sz w:val="24"/>
          <w:szCs w:val="24"/>
        </w:rPr>
        <w:lastRenderedPageBreak/>
        <w:t>voicificação</w:t>
      </w:r>
      <w:proofErr w:type="spellEnd"/>
      <w:r w:rsidR="001033A9" w:rsidRPr="0064737C">
        <w:rPr>
          <w:rFonts w:cs="Arial"/>
          <w:sz w:val="24"/>
          <w:szCs w:val="24"/>
        </w:rPr>
        <w:t xml:space="preserve">, sendo certo que as manifestações anônimas ainda prevalecem em percentual elevado, chegando </w:t>
      </w:r>
      <w:r w:rsidR="00D33C76" w:rsidRPr="0064737C">
        <w:rPr>
          <w:rFonts w:cs="Arial"/>
          <w:sz w:val="24"/>
          <w:szCs w:val="24"/>
        </w:rPr>
        <w:t>neste primeiro semestre d</w:t>
      </w:r>
      <w:r w:rsidR="001033A9" w:rsidRPr="0064737C">
        <w:rPr>
          <w:rFonts w:cs="Arial"/>
          <w:sz w:val="24"/>
          <w:szCs w:val="24"/>
        </w:rPr>
        <w:t>e 2014 a 70%.</w:t>
      </w:r>
    </w:p>
    <w:p w:rsidR="00D33C76" w:rsidRPr="00DB404F" w:rsidRDefault="00D33C76" w:rsidP="00D33C76">
      <w:pPr>
        <w:jc w:val="both"/>
        <w:rPr>
          <w:rFonts w:ascii="Arial" w:hAnsi="Arial" w:cs="Arial"/>
          <w:sz w:val="20"/>
          <w:szCs w:val="20"/>
        </w:rPr>
      </w:pPr>
      <w:r w:rsidRPr="00DB404F">
        <w:rPr>
          <w:rFonts w:ascii="Arial" w:hAnsi="Arial" w:cs="Arial"/>
          <w:sz w:val="20"/>
          <w:szCs w:val="20"/>
        </w:rPr>
        <w:t>(*) O enfoque</w:t>
      </w:r>
      <w:proofErr w:type="gramStart"/>
      <w:r w:rsidRPr="00DB404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B404F">
        <w:rPr>
          <w:rFonts w:ascii="Arial" w:hAnsi="Arial" w:cs="Arial"/>
          <w:sz w:val="20"/>
          <w:szCs w:val="20"/>
        </w:rPr>
        <w:t xml:space="preserve">desta análise está baseado  na adoção de um novo objetivo classificado como “Informação LAI”. Este procedimento se deu em cumprimento à Lei de Acesso à Informação – 12.527/2011, regulamentada no MPMG por meio da Resolução PGJ nº 65, de 08 de agosto de 2013, após a edição da </w:t>
      </w:r>
      <w:proofErr w:type="spellStart"/>
      <w:r w:rsidRPr="00DB404F">
        <w:rPr>
          <w:rFonts w:ascii="Arial" w:hAnsi="Arial" w:cs="Arial"/>
          <w:sz w:val="20"/>
          <w:szCs w:val="20"/>
        </w:rPr>
        <w:t>Resoluçao</w:t>
      </w:r>
      <w:proofErr w:type="spellEnd"/>
      <w:r w:rsidRPr="00DB404F">
        <w:rPr>
          <w:rFonts w:ascii="Arial" w:hAnsi="Arial" w:cs="Arial"/>
          <w:sz w:val="20"/>
          <w:szCs w:val="20"/>
        </w:rPr>
        <w:t xml:space="preserve"> CNMP nº 89, em 28 de agosto de 2012.</w:t>
      </w:r>
    </w:p>
    <w:p w:rsidR="00D33C76" w:rsidRDefault="00D33C76" w:rsidP="00DB40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033A9" w:rsidRPr="0064737C" w:rsidRDefault="001033A9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Esse percentual, em nosso entendimento, tem a ver com a predominância das manifestações relativas à improbidade administrativa e seus autores.</w:t>
      </w:r>
    </w:p>
    <w:p w:rsidR="00DB404F" w:rsidRPr="0064737C" w:rsidRDefault="001033A9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Encontram-se em anexo,</w:t>
      </w:r>
      <w:r w:rsidR="00A00F28" w:rsidRPr="0064737C">
        <w:rPr>
          <w:rFonts w:cs="Arial"/>
          <w:sz w:val="24"/>
          <w:szCs w:val="24"/>
        </w:rPr>
        <w:t xml:space="preserve"> </w:t>
      </w:r>
      <w:r w:rsidRPr="0064737C">
        <w:rPr>
          <w:rFonts w:cs="Arial"/>
          <w:sz w:val="24"/>
          <w:szCs w:val="24"/>
        </w:rPr>
        <w:t xml:space="preserve">todas </w:t>
      </w:r>
      <w:r w:rsidR="00DB404F" w:rsidRPr="0064737C">
        <w:rPr>
          <w:rFonts w:cs="Arial"/>
          <w:sz w:val="24"/>
          <w:szCs w:val="24"/>
        </w:rPr>
        <w:t>as planilhas elaboradas a partir do sistema virtual utilizado desde fevereiro de 2008 para recebimento e movimentação das manifestações.</w:t>
      </w:r>
    </w:p>
    <w:p w:rsidR="00EE5B07" w:rsidRDefault="005D1795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Sugerimos, a propósito, </w:t>
      </w:r>
      <w:r w:rsidR="00EE5B07">
        <w:rPr>
          <w:rFonts w:cs="Arial"/>
          <w:sz w:val="24"/>
          <w:szCs w:val="24"/>
        </w:rPr>
        <w:t xml:space="preserve">a priorização do sistema para que seja admitido o cruzamento das informações de estatísticas precisas e detalhadas. </w:t>
      </w:r>
    </w:p>
    <w:p w:rsidR="00EE5B07" w:rsidRDefault="00EE5B07" w:rsidP="00DB404F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Essa medida possibilitará, com certeza, análise e conclusões mais precisas dos resultados que contribuirão mais efetivamente para as políticas administrativas.</w:t>
      </w:r>
    </w:p>
    <w:p w:rsidR="00DB404F" w:rsidRPr="0064737C" w:rsidRDefault="001033A9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 xml:space="preserve">Em anexo, </w:t>
      </w:r>
      <w:r w:rsidR="005D1795" w:rsidRPr="0064737C">
        <w:rPr>
          <w:rFonts w:cs="Arial"/>
          <w:sz w:val="24"/>
          <w:szCs w:val="24"/>
        </w:rPr>
        <w:t>também</w:t>
      </w:r>
      <w:r w:rsidRPr="0064737C">
        <w:rPr>
          <w:rFonts w:cs="Arial"/>
          <w:sz w:val="24"/>
          <w:szCs w:val="24"/>
        </w:rPr>
        <w:t xml:space="preserve">, </w:t>
      </w:r>
      <w:r w:rsidR="00DB404F" w:rsidRPr="0064737C">
        <w:rPr>
          <w:rFonts w:cs="Arial"/>
          <w:sz w:val="24"/>
          <w:szCs w:val="24"/>
        </w:rPr>
        <w:t>a agenda de compromissos cumpridos em viagem pela Ouvidora.</w:t>
      </w:r>
    </w:p>
    <w:p w:rsidR="005D1795" w:rsidRPr="0064737C" w:rsidRDefault="005D1795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Importante destacar que, em 28 de março de 2014, esta Ouvidora foi empossada Presidente do Conselho Nacional dos Ouvidores do Ministério Público – CNOMP, cujo mandato irá até 10 de abril de 2015.</w:t>
      </w:r>
    </w:p>
    <w:p w:rsidR="00DB404F" w:rsidRPr="0064737C" w:rsidRDefault="005D1795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Destacamos</w:t>
      </w:r>
      <w:r w:rsidR="001033A9" w:rsidRPr="0064737C">
        <w:rPr>
          <w:rFonts w:cs="Arial"/>
          <w:sz w:val="24"/>
          <w:szCs w:val="24"/>
        </w:rPr>
        <w:t xml:space="preserve">, </w:t>
      </w:r>
      <w:r w:rsidRPr="0064737C">
        <w:rPr>
          <w:rFonts w:cs="Arial"/>
          <w:sz w:val="24"/>
          <w:szCs w:val="24"/>
        </w:rPr>
        <w:t>p</w:t>
      </w:r>
      <w:r w:rsidR="00DB404F" w:rsidRPr="0064737C">
        <w:rPr>
          <w:rFonts w:cs="Arial"/>
          <w:sz w:val="24"/>
          <w:szCs w:val="24"/>
        </w:rPr>
        <w:t xml:space="preserve">or amostragem, </w:t>
      </w:r>
      <w:r w:rsidRPr="0064737C">
        <w:rPr>
          <w:rFonts w:cs="Arial"/>
          <w:sz w:val="24"/>
          <w:szCs w:val="24"/>
        </w:rPr>
        <w:t xml:space="preserve">na última tela deste relatório, alguns </w:t>
      </w:r>
      <w:r w:rsidR="00DB404F" w:rsidRPr="0064737C">
        <w:rPr>
          <w:rFonts w:cs="Arial"/>
          <w:sz w:val="24"/>
          <w:szCs w:val="24"/>
        </w:rPr>
        <w:t>cases de sucesso</w:t>
      </w:r>
      <w:r w:rsidR="001033A9" w:rsidRPr="0064737C">
        <w:rPr>
          <w:rFonts w:cs="Arial"/>
          <w:sz w:val="24"/>
          <w:szCs w:val="24"/>
        </w:rPr>
        <w:t xml:space="preserve"> na solução das manifestações</w:t>
      </w:r>
      <w:r w:rsidRPr="0064737C">
        <w:rPr>
          <w:rFonts w:cs="Arial"/>
          <w:sz w:val="24"/>
          <w:szCs w:val="24"/>
        </w:rPr>
        <w:t xml:space="preserve"> </w:t>
      </w:r>
      <w:r w:rsidR="00DA2BA5" w:rsidRPr="0064737C">
        <w:rPr>
          <w:rFonts w:cs="Arial"/>
          <w:sz w:val="24"/>
          <w:szCs w:val="24"/>
        </w:rPr>
        <w:t>encaminhadas pelo cidadão e distribuídas pela Ouvidoria aos órgãos de execução</w:t>
      </w:r>
      <w:r w:rsidRPr="0064737C">
        <w:rPr>
          <w:rFonts w:cs="Arial"/>
          <w:sz w:val="24"/>
          <w:szCs w:val="24"/>
        </w:rPr>
        <w:t xml:space="preserve"> </w:t>
      </w:r>
      <w:r w:rsidR="00DA2BA5" w:rsidRPr="0064737C">
        <w:rPr>
          <w:rFonts w:cs="Arial"/>
          <w:sz w:val="24"/>
          <w:szCs w:val="24"/>
        </w:rPr>
        <w:t xml:space="preserve">e à administração do MPMG. </w:t>
      </w:r>
    </w:p>
    <w:p w:rsidR="00A00F28" w:rsidRPr="0064737C" w:rsidRDefault="00A00F28" w:rsidP="00DB404F">
      <w:pPr>
        <w:ind w:firstLine="709"/>
        <w:jc w:val="both"/>
        <w:rPr>
          <w:rFonts w:cs="Arial"/>
          <w:sz w:val="24"/>
          <w:szCs w:val="24"/>
        </w:rPr>
      </w:pPr>
    </w:p>
    <w:p w:rsidR="00A00F28" w:rsidRPr="0064737C" w:rsidRDefault="00A00F28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Ruth Lies Scholte Carvalho</w:t>
      </w:r>
    </w:p>
    <w:p w:rsidR="00A00F28" w:rsidRPr="0064737C" w:rsidRDefault="00A00F28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Procuradora de Justiça</w:t>
      </w:r>
    </w:p>
    <w:p w:rsidR="00A00F28" w:rsidRPr="0064737C" w:rsidRDefault="00A00F28" w:rsidP="00DB404F">
      <w:pPr>
        <w:ind w:firstLine="709"/>
        <w:jc w:val="both"/>
        <w:rPr>
          <w:rFonts w:cs="Arial"/>
          <w:sz w:val="24"/>
          <w:szCs w:val="24"/>
        </w:rPr>
      </w:pPr>
      <w:r w:rsidRPr="0064737C">
        <w:rPr>
          <w:rFonts w:cs="Arial"/>
          <w:sz w:val="24"/>
          <w:szCs w:val="24"/>
        </w:rPr>
        <w:t>Ouvidora do MPMG</w:t>
      </w:r>
    </w:p>
    <w:p w:rsidR="00DD5CB4" w:rsidRPr="00DB404F" w:rsidRDefault="00DD5CB4" w:rsidP="00DB404F">
      <w:pPr>
        <w:jc w:val="both"/>
        <w:rPr>
          <w:rFonts w:ascii="Arial" w:hAnsi="Arial" w:cs="Arial"/>
          <w:sz w:val="24"/>
          <w:szCs w:val="24"/>
        </w:rPr>
      </w:pPr>
    </w:p>
    <w:sectPr w:rsidR="00DD5CB4" w:rsidRPr="00DB404F" w:rsidSect="00D33C76">
      <w:pgSz w:w="11906" w:h="16838"/>
      <w:pgMar w:top="1134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34B"/>
    <w:rsid w:val="000354E3"/>
    <w:rsid w:val="001033A9"/>
    <w:rsid w:val="001119D0"/>
    <w:rsid w:val="001F61C8"/>
    <w:rsid w:val="0027619C"/>
    <w:rsid w:val="00331FEA"/>
    <w:rsid w:val="003F6DDF"/>
    <w:rsid w:val="00483115"/>
    <w:rsid w:val="00504825"/>
    <w:rsid w:val="00527DD8"/>
    <w:rsid w:val="005C09C5"/>
    <w:rsid w:val="005D1795"/>
    <w:rsid w:val="005F5B91"/>
    <w:rsid w:val="0064737C"/>
    <w:rsid w:val="0068084B"/>
    <w:rsid w:val="006B2BD4"/>
    <w:rsid w:val="007464D0"/>
    <w:rsid w:val="007860D6"/>
    <w:rsid w:val="007F1953"/>
    <w:rsid w:val="00A00F28"/>
    <w:rsid w:val="00A37D65"/>
    <w:rsid w:val="00AB034B"/>
    <w:rsid w:val="00B05C5E"/>
    <w:rsid w:val="00B11903"/>
    <w:rsid w:val="00B61345"/>
    <w:rsid w:val="00C95EB6"/>
    <w:rsid w:val="00D33C76"/>
    <w:rsid w:val="00D82276"/>
    <w:rsid w:val="00DA2BA5"/>
    <w:rsid w:val="00DB404F"/>
    <w:rsid w:val="00DD5CB4"/>
    <w:rsid w:val="00E0526E"/>
    <w:rsid w:val="00E379A9"/>
    <w:rsid w:val="00E43DEA"/>
    <w:rsid w:val="00E704DF"/>
    <w:rsid w:val="00EC6164"/>
    <w:rsid w:val="00E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2E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AB0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B034B"/>
    <w:pPr>
      <w:spacing w:after="140" w:line="288" w:lineRule="auto"/>
    </w:pPr>
  </w:style>
  <w:style w:type="paragraph" w:styleId="Lista">
    <w:name w:val="List"/>
    <w:basedOn w:val="Corpodotexto"/>
    <w:rsid w:val="00AB034B"/>
    <w:rPr>
      <w:rFonts w:cs="Mangal"/>
    </w:rPr>
  </w:style>
  <w:style w:type="paragraph" w:styleId="Legenda">
    <w:name w:val="caption"/>
    <w:basedOn w:val="Normal"/>
    <w:rsid w:val="00AB0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B034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PGJMG</cp:lastModifiedBy>
  <cp:revision>3</cp:revision>
  <cp:lastPrinted>2014-12-04T17:19:00Z</cp:lastPrinted>
  <dcterms:created xsi:type="dcterms:W3CDTF">2014-12-09T20:28:00Z</dcterms:created>
  <dcterms:modified xsi:type="dcterms:W3CDTF">2014-12-11T16:29:00Z</dcterms:modified>
  <dc:language>pt-BR</dc:language>
</cp:coreProperties>
</file>